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ascii="微软雅黑" w:hAnsi="微软雅黑" w:eastAsia="微软雅黑"/>
          <w:b/>
          <w:sz w:val="84"/>
          <w:szCs w:val="84"/>
        </w:rPr>
      </w:pPr>
      <w:r>
        <w:rPr>
          <w:rFonts w:hint="eastAsia" w:ascii="微软雅黑" w:hAnsi="微软雅黑" w:eastAsia="微软雅黑"/>
          <w:b/>
          <w:sz w:val="84"/>
          <w:szCs w:val="84"/>
        </w:rPr>
        <w:t>投 标 文 件</w:t>
      </w: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both"/>
        <w:rPr>
          <w:rFonts w:hint="eastAsia" w:ascii="黑体" w:hAnsi="黑体" w:eastAsia="黑体"/>
          <w:b/>
          <w:sz w:val="32"/>
          <w:szCs w:val="32"/>
        </w:rPr>
      </w:pPr>
    </w:p>
    <w:p>
      <w:pPr>
        <w:pStyle w:val="13"/>
        <w:ind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四川文理学院</w:t>
      </w:r>
    </w:p>
    <w:p>
      <w:pPr>
        <w:pStyle w:val="13"/>
        <w:ind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关于《2016年届毕业生就业质量年度报告》项目的招标</w:t>
      </w:r>
    </w:p>
    <w:p>
      <w:pPr>
        <w:pStyle w:val="13"/>
        <w:ind w:firstLine="0" w:firstLineChars="0"/>
        <w:jc w:val="center"/>
        <w:rPr>
          <w:rFonts w:ascii="黑体" w:hAnsi="黑体" w:eastAsia="黑体" w:cs="宋体"/>
          <w:b/>
          <w:bCs/>
          <w:kern w:val="0"/>
          <w:sz w:val="32"/>
          <w:szCs w:val="32"/>
        </w:rPr>
      </w:pPr>
      <w:r>
        <w:rPr>
          <w:rFonts w:hint="eastAsia" w:ascii="黑体" w:hAnsi="黑体" w:eastAsia="黑体" w:cs="宋体"/>
          <w:b/>
          <w:bCs/>
          <w:kern w:val="0"/>
          <w:sz w:val="32"/>
          <w:szCs w:val="32"/>
        </w:rPr>
        <w:t>公  告</w:t>
      </w:r>
    </w:p>
    <w:p>
      <w:pPr>
        <w:pStyle w:val="13"/>
        <w:ind w:firstLine="640"/>
        <w:rPr>
          <w:rFonts w:ascii="仿宋_GB2312" w:eastAsia="仿宋_GB2312"/>
          <w:sz w:val="32"/>
          <w:szCs w:val="32"/>
        </w:rPr>
      </w:pPr>
    </w:p>
    <w:p>
      <w:pPr>
        <w:pStyle w:val="13"/>
        <w:spacing w:line="460" w:lineRule="exact"/>
        <w:ind w:firstLine="480"/>
        <w:rPr>
          <w:rFonts w:ascii="楷体_GB2312" w:eastAsia="楷体_GB2312"/>
          <w:sz w:val="24"/>
          <w:szCs w:val="24"/>
        </w:rPr>
      </w:pPr>
      <w:r>
        <w:rPr>
          <w:rFonts w:hint="eastAsia" w:ascii="楷体_GB2312" w:eastAsia="楷体_GB2312"/>
          <w:sz w:val="24"/>
          <w:szCs w:val="24"/>
        </w:rPr>
        <w:t>根据《中华人民共和国招标投标法》及《中华人民共和国政府采购法》的规定，我校将采取公开招标的方式确定编制《四川文理学院2016年届毕业生就业质量报告》项目单位，兹邀请符合本次招标要求的单位参加投标。</w:t>
      </w:r>
    </w:p>
    <w:p>
      <w:pPr>
        <w:spacing w:line="460" w:lineRule="exact"/>
        <w:ind w:firstLine="590" w:firstLineChars="245"/>
        <w:rPr>
          <w:rFonts w:ascii="楷体_GB2312" w:eastAsia="楷体_GB2312"/>
          <w:b/>
          <w:sz w:val="24"/>
          <w:szCs w:val="24"/>
        </w:rPr>
      </w:pPr>
      <w:r>
        <w:rPr>
          <w:rFonts w:hint="eastAsia" w:ascii="楷体_GB2312" w:eastAsia="楷体_GB2312"/>
          <w:b/>
          <w:sz w:val="24"/>
          <w:szCs w:val="24"/>
        </w:rPr>
        <w:t>一、项目概况</w:t>
      </w:r>
    </w:p>
    <w:p>
      <w:pPr>
        <w:spacing w:line="460" w:lineRule="exact"/>
        <w:ind w:firstLine="569" w:firstLineChars="236"/>
        <w:rPr>
          <w:rFonts w:ascii="楷体_GB2312" w:eastAsia="楷体_GB2312"/>
          <w:sz w:val="24"/>
          <w:szCs w:val="24"/>
        </w:rPr>
      </w:pPr>
      <w:r>
        <w:rPr>
          <w:rFonts w:hint="eastAsia" w:ascii="楷体_GB2312" w:eastAsia="楷体_GB2312"/>
          <w:b/>
          <w:sz w:val="24"/>
          <w:szCs w:val="24"/>
        </w:rPr>
        <w:t>1.项目内容：</w:t>
      </w:r>
      <w:r>
        <w:rPr>
          <w:rFonts w:hint="eastAsia" w:ascii="楷体_GB2312" w:eastAsia="楷体_GB2312"/>
          <w:sz w:val="24"/>
          <w:szCs w:val="24"/>
        </w:rPr>
        <w:t>本次招标项目：编制四川文理学院《2016年届毕业生就业质量年度报告》，最高限价4.5万元。大写：肆万伍仟元。</w:t>
      </w:r>
    </w:p>
    <w:p>
      <w:pPr>
        <w:spacing w:line="460" w:lineRule="exact"/>
        <w:ind w:firstLine="569" w:firstLineChars="236"/>
        <w:rPr>
          <w:rFonts w:ascii="楷体_GB2312" w:eastAsia="楷体_GB2312"/>
          <w:sz w:val="24"/>
          <w:szCs w:val="24"/>
        </w:rPr>
      </w:pPr>
      <w:r>
        <w:rPr>
          <w:rFonts w:hint="eastAsia" w:ascii="楷体_GB2312" w:eastAsia="楷体_GB2312"/>
          <w:b/>
          <w:sz w:val="24"/>
          <w:szCs w:val="24"/>
        </w:rPr>
        <w:t>2.资金来源：</w:t>
      </w:r>
      <w:r>
        <w:rPr>
          <w:rFonts w:hint="eastAsia" w:ascii="楷体_GB2312" w:eastAsia="楷体_GB2312"/>
          <w:sz w:val="24"/>
          <w:szCs w:val="24"/>
        </w:rPr>
        <w:t>资金已到位。</w:t>
      </w:r>
    </w:p>
    <w:p>
      <w:pPr>
        <w:widowControl/>
        <w:spacing w:line="480" w:lineRule="exact"/>
        <w:ind w:firstLine="482"/>
        <w:jc w:val="left"/>
        <w:rPr>
          <w:rFonts w:ascii="楷体_GB2312" w:eastAsia="楷体_GB2312" w:cs="宋体" w:hAnsiTheme="minorEastAsia"/>
          <w:kern w:val="0"/>
          <w:sz w:val="24"/>
          <w:szCs w:val="24"/>
        </w:rPr>
      </w:pPr>
      <w:r>
        <w:rPr>
          <w:rFonts w:hint="eastAsia" w:ascii="楷体_GB2312" w:eastAsia="楷体_GB2312" w:cs="宋体" w:hAnsiTheme="minorEastAsia"/>
          <w:b/>
          <w:bCs/>
          <w:kern w:val="0"/>
          <w:sz w:val="24"/>
          <w:szCs w:val="24"/>
        </w:rPr>
        <w:t>二、报告要求</w:t>
      </w:r>
    </w:p>
    <w:p>
      <w:pPr>
        <w:widowControl/>
        <w:spacing w:line="480" w:lineRule="exact"/>
        <w:ind w:firstLine="480"/>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 xml:space="preserve">（一）编制2016届毕业生就业质量年度报告（教育部汇报版），该报告完全遵从《教育部办公厅关于编制发布高校毕业生就业质量年度报告的通知》（教学厅函[2013]25号）包括五个方面：毕业生就业的基本情况；毕业生就业主要特点；相关分析；毕业生就业发展趋势；对教育教学的反馈。 </w:t>
      </w:r>
    </w:p>
    <w:p>
      <w:pPr>
        <w:widowControl/>
        <w:spacing w:line="480" w:lineRule="exact"/>
        <w:ind w:firstLine="480"/>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二）编制2016毕业生就业与培养质量综合报告（对内分析版），报告内容包括：就业与培养质量整体分析与改进建议；多角度多层面分析学校毕业生的就业质量；毕业生对母校人才培养和就业服务工作的评价；毕业生的升学和出国情况、创业及创业教育情况、求职情况；用人单位对毕业生、学校评价等。</w:t>
      </w:r>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三、投标人资格、资质性要求</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1.具有独立承担民事责任的能力；</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2.具有良好的商业信誉和健全的财务会计制度；</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3.参加本次政府采购活动前三年内，在经营活动中没有重大违法记录；</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4.法律、行政法规规定的其他条件；</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5.本项目不接受联合体投标</w:t>
      </w:r>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四、招标文件获取</w:t>
      </w:r>
    </w:p>
    <w:p>
      <w:pPr>
        <w:spacing w:line="460" w:lineRule="exact"/>
        <w:ind w:firstLine="569" w:firstLineChars="236"/>
        <w:rPr>
          <w:rFonts w:ascii="楷体_GB2312" w:eastAsia="楷体_GB2312"/>
          <w:b/>
          <w:sz w:val="24"/>
          <w:szCs w:val="24"/>
        </w:rPr>
      </w:pPr>
      <w:r>
        <w:rPr>
          <w:rFonts w:hint="eastAsia" w:ascii="楷体_GB2312" w:eastAsia="楷体_GB2312"/>
          <w:b/>
          <w:sz w:val="24"/>
          <w:szCs w:val="24"/>
        </w:rPr>
        <w:t>1.获取方式：</w:t>
      </w:r>
      <w:r>
        <w:rPr>
          <w:rFonts w:hint="eastAsia" w:ascii="楷体_GB2312" w:eastAsia="楷体_GB2312"/>
          <w:sz w:val="24"/>
          <w:szCs w:val="24"/>
        </w:rPr>
        <w:t>在公告的附件上下载。</w:t>
      </w:r>
    </w:p>
    <w:p>
      <w:pPr>
        <w:spacing w:line="460" w:lineRule="exact"/>
        <w:ind w:firstLine="569" w:firstLineChars="236"/>
        <w:rPr>
          <w:rFonts w:ascii="楷体_GB2312" w:eastAsia="楷体_GB2312"/>
          <w:b/>
          <w:sz w:val="24"/>
          <w:szCs w:val="24"/>
        </w:rPr>
      </w:pPr>
      <w:r>
        <w:rPr>
          <w:rFonts w:hint="eastAsia" w:ascii="楷体_GB2312" w:eastAsia="楷体_GB2312"/>
          <w:b/>
          <w:sz w:val="24"/>
          <w:szCs w:val="24"/>
        </w:rPr>
        <w:t>2.获取时间：2016年10月12日至14日</w:t>
      </w:r>
    </w:p>
    <w:p>
      <w:pPr>
        <w:spacing w:line="460" w:lineRule="exact"/>
        <w:ind w:firstLine="482" w:firstLineChars="200"/>
        <w:rPr>
          <w:rFonts w:ascii="楷体_GB2312" w:eastAsia="楷体_GB2312"/>
          <w:b/>
          <w:sz w:val="24"/>
          <w:szCs w:val="24"/>
        </w:rPr>
      </w:pPr>
      <w:r>
        <w:rPr>
          <w:rFonts w:hint="eastAsia" w:ascii="楷体_GB2312" w:eastAsia="楷体_GB2312"/>
          <w:b/>
          <w:sz w:val="24"/>
          <w:szCs w:val="24"/>
        </w:rPr>
        <w:t>五、注意事项</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1.投标人必须在2016年10月17日15点之前提交投标文件，提交投标文件及相关文件资料时，须用A4纸大小的档案袋密封后递交招生就业处。不接受邮寄的投标文件，拒收超时递交的投标文件。</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报价应包含：调查、设计、运输、印刷、税费等费用（即交钥匙价）。</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2.本招标公告在四川文理学院网站上以公告形式发布，并同时在招生就业处网站发布。</w:t>
      </w:r>
    </w:p>
    <w:p>
      <w:pPr>
        <w:spacing w:line="460" w:lineRule="exact"/>
        <w:ind w:firstLine="569" w:firstLineChars="236"/>
        <w:rPr>
          <w:rFonts w:ascii="楷体_GB2312" w:eastAsia="楷体_GB2312"/>
          <w:b/>
          <w:sz w:val="24"/>
          <w:szCs w:val="24"/>
        </w:rPr>
      </w:pPr>
      <w:r>
        <w:rPr>
          <w:rFonts w:hint="eastAsia" w:ascii="楷体_GB2312" w:eastAsia="楷体_GB2312"/>
          <w:b/>
          <w:sz w:val="24"/>
          <w:szCs w:val="24"/>
        </w:rPr>
        <w:t>六、开标原则及时间、地点</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1.开标原则：符合招标条件的经销商须在三家以上（含三家）方可开标。</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2.开标时间：2016年10月18日9：30。</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3.开标地点：</w:t>
      </w:r>
      <w:r>
        <w:rPr>
          <w:rFonts w:hint="eastAsia" w:ascii="楷体_GB2312" w:eastAsia="楷体_GB2312" w:cs="宋体" w:hAnsiTheme="minorEastAsia"/>
          <w:kern w:val="0"/>
          <w:sz w:val="24"/>
          <w:szCs w:val="24"/>
        </w:rPr>
        <w:t>四川文理学院（莲湖校区）行政办公楼三楼会议室</w:t>
      </w:r>
      <w:r>
        <w:rPr>
          <w:rFonts w:hint="eastAsia" w:ascii="楷体_GB2312" w:eastAsia="楷体_GB2312"/>
          <w:sz w:val="24"/>
          <w:szCs w:val="24"/>
        </w:rPr>
        <w:t>。</w:t>
      </w:r>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七、评审程序、方法和标准</w:t>
      </w:r>
    </w:p>
    <w:p>
      <w:pPr>
        <w:spacing w:line="460" w:lineRule="exact"/>
        <w:ind w:firstLine="480" w:firstLineChars="200"/>
        <w:rPr>
          <w:rFonts w:hint="eastAsia" w:ascii="楷体_GB2312" w:eastAsia="楷体_GB2312"/>
          <w:sz w:val="24"/>
          <w:szCs w:val="24"/>
        </w:rPr>
      </w:pPr>
      <w:r>
        <w:rPr>
          <w:rFonts w:hint="eastAsia" w:ascii="楷体_GB2312" w:eastAsia="楷体_GB2312"/>
          <w:sz w:val="24"/>
          <w:szCs w:val="24"/>
        </w:rPr>
        <w:t>在学校纪委、监察处、国资处、使用部门和投标供应商代表参与下现场公开开标。开标后由评委对投标文件进行综合评分，总分最高的投标人为中标人。</w:t>
      </w:r>
    </w:p>
    <w:p>
      <w:pPr>
        <w:pStyle w:val="3"/>
        <w:tabs>
          <w:tab w:val="left" w:pos="600"/>
        </w:tabs>
        <w:spacing w:line="400" w:lineRule="exact"/>
        <w:ind w:left="0" w:leftChars="0"/>
        <w:jc w:val="center"/>
        <w:rPr>
          <w:rFonts w:hint="eastAsia" w:ascii="楷体_GB2312" w:hAnsi="宋体" w:eastAsia="楷体_GB2312"/>
          <w:b/>
          <w:color w:val="000000"/>
          <w:sz w:val="28"/>
          <w:szCs w:val="28"/>
        </w:rPr>
      </w:pPr>
      <w:r>
        <w:rPr>
          <w:rFonts w:hint="eastAsia" w:ascii="楷体_GB2312" w:hAnsi="宋体" w:eastAsia="楷体_GB2312"/>
          <w:b/>
          <w:sz w:val="28"/>
          <w:szCs w:val="28"/>
        </w:rPr>
        <w:t>综合评分明细表</w:t>
      </w:r>
    </w:p>
    <w:tbl>
      <w:tblPr>
        <w:tblStyle w:val="8"/>
        <w:tblW w:w="8870" w:type="dxa"/>
        <w:jc w:val="center"/>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22"/>
        <w:gridCol w:w="755"/>
        <w:gridCol w:w="463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序号</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olor w:val="000000"/>
              </w:rPr>
            </w:pPr>
            <w:r>
              <w:rPr>
                <w:rFonts w:hint="eastAsia" w:ascii="宋体" w:hAnsi="宋体"/>
                <w:color w:val="000000"/>
              </w:rPr>
              <w:t>评分因素</w:t>
            </w:r>
          </w:p>
          <w:p>
            <w:pPr>
              <w:spacing w:line="300" w:lineRule="exact"/>
              <w:jc w:val="center"/>
              <w:rPr>
                <w:rFonts w:ascii="宋体" w:hAnsi="宋体"/>
                <w:color w:val="000000"/>
              </w:rPr>
            </w:pPr>
            <w:r>
              <w:rPr>
                <w:rFonts w:hint="eastAsia" w:ascii="宋体" w:hAnsi="宋体"/>
                <w:color w:val="000000"/>
              </w:rPr>
              <w:t>及权重</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分值</w:t>
            </w:r>
          </w:p>
        </w:tc>
        <w:tc>
          <w:tcPr>
            <w:tcW w:w="46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评分标准</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一</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价格</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40</w:t>
            </w:r>
          </w:p>
        </w:tc>
        <w:tc>
          <w:tcPr>
            <w:tcW w:w="46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有效投标报价中的最低报价为评标基准价，得40分。</w:t>
            </w:r>
          </w:p>
          <w:p>
            <w:pPr>
              <w:spacing w:line="300" w:lineRule="exact"/>
              <w:rPr>
                <w:rFonts w:ascii="宋体" w:hAnsi="宋体"/>
                <w:color w:val="000000"/>
              </w:rPr>
            </w:pPr>
            <w:r>
              <w:rPr>
                <w:rFonts w:hint="eastAsia" w:ascii="宋体" w:hAnsi="宋体"/>
                <w:color w:val="000000"/>
              </w:rPr>
              <w:t>按照下列公式计算每个投标人的投标价格得分。</w:t>
            </w:r>
          </w:p>
          <w:p>
            <w:pPr>
              <w:spacing w:line="300" w:lineRule="exact"/>
              <w:rPr>
                <w:rFonts w:ascii="宋体" w:hAnsi="宋体"/>
                <w:color w:val="000000"/>
              </w:rPr>
            </w:pPr>
            <w:r>
              <w:rPr>
                <w:rFonts w:hint="eastAsia" w:ascii="宋体" w:hAnsi="宋体"/>
                <w:color w:val="000000"/>
              </w:rPr>
              <w:t>投标报价得分＝（评标基准价/投标报价）×40。</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二</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设计方案</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40</w:t>
            </w:r>
          </w:p>
        </w:tc>
        <w:tc>
          <w:tcPr>
            <w:tcW w:w="46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color w:val="000000"/>
              </w:rPr>
              <w:t>由评标委员会对各投标人的设计方案《2016年届毕业生就业质量报告》研究项目建议书进行综合比较打分。</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四</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业绩</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15</w:t>
            </w:r>
          </w:p>
        </w:tc>
        <w:tc>
          <w:tcPr>
            <w:tcW w:w="46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投标人提供近两年四川省内同类项目销售合同2份得5分，加一份加2分，总分不超过15分。</w:t>
            </w:r>
          </w:p>
          <w:p>
            <w:pPr>
              <w:spacing w:line="300" w:lineRule="exact"/>
              <w:rPr>
                <w:rFonts w:ascii="宋体" w:hAnsi="宋体"/>
                <w:color w:val="000000"/>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提供销售合同复印件并加盖鲜章。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五</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管理、技术、服务承诺</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3</w:t>
            </w:r>
          </w:p>
        </w:tc>
        <w:tc>
          <w:tcPr>
            <w:tcW w:w="46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由评标委员会对各投标人的管理、技术、服务等进行综合比较，最优的得3分，良得2，一般得1分,其他不得分。</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必须提供相应资料证明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六</w:t>
            </w:r>
          </w:p>
        </w:tc>
        <w:tc>
          <w:tcPr>
            <w:tcW w:w="16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投标文件规范性、完整性</w:t>
            </w: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2</w:t>
            </w:r>
          </w:p>
        </w:tc>
        <w:tc>
          <w:tcPr>
            <w:tcW w:w="46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r>
              <w:rPr>
                <w:rFonts w:hint="eastAsia" w:ascii="宋体" w:hAnsi="宋体"/>
                <w:color w:val="000000"/>
              </w:rPr>
              <w:t>投标文件制作规范，没有细微偏差情形的得满分，有一项细微偏差扣0.5分，直到该项分值扣完为止。</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rPr>
            </w:pPr>
          </w:p>
        </w:tc>
      </w:tr>
    </w:tbl>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八、采购项目履约验收标准和要求</w:t>
      </w:r>
    </w:p>
    <w:p>
      <w:pPr>
        <w:spacing w:line="460" w:lineRule="exact"/>
        <w:ind w:firstLine="425" w:firstLineChars="177"/>
        <w:rPr>
          <w:rFonts w:ascii="楷体_GB2312" w:eastAsia="楷体_GB2312"/>
          <w:sz w:val="24"/>
          <w:szCs w:val="24"/>
        </w:rPr>
      </w:pPr>
      <w:r>
        <w:rPr>
          <w:rFonts w:hint="eastAsia" w:ascii="楷体_GB2312" w:eastAsia="楷体_GB2312"/>
          <w:sz w:val="24"/>
          <w:szCs w:val="24"/>
        </w:rPr>
        <w:t>按照国家现行规定的相关产品质量标准以及签订合同的要求验收项目。</w:t>
      </w:r>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九、结算方式及期限</w:t>
      </w:r>
    </w:p>
    <w:p>
      <w:pPr>
        <w:spacing w:line="460" w:lineRule="exact"/>
        <w:ind w:firstLine="566" w:firstLineChars="236"/>
        <w:rPr>
          <w:rFonts w:ascii="楷体_GB2312" w:eastAsia="楷体_GB2312"/>
          <w:sz w:val="24"/>
          <w:szCs w:val="24"/>
        </w:rPr>
      </w:pPr>
      <w:r>
        <w:rPr>
          <w:rFonts w:hint="eastAsia" w:ascii="楷体_GB2312" w:eastAsia="楷体_GB2312"/>
          <w:sz w:val="24"/>
          <w:szCs w:val="24"/>
        </w:rPr>
        <w:t>在货物符合产品质量标准及本合同的要求前提下，产品验收合格并收到结算发票后的15个工作日内付清全部款项。</w:t>
      </w:r>
    </w:p>
    <w:p>
      <w:pPr>
        <w:spacing w:line="460" w:lineRule="exact"/>
        <w:ind w:firstLine="472" w:firstLineChars="196"/>
        <w:rPr>
          <w:rFonts w:ascii="楷体_GB2312" w:eastAsia="楷体_GB2312"/>
          <w:b/>
          <w:sz w:val="24"/>
          <w:szCs w:val="24"/>
        </w:rPr>
      </w:pPr>
      <w:r>
        <w:rPr>
          <w:rFonts w:hint="eastAsia" w:ascii="楷体_GB2312" w:eastAsia="楷体_GB2312"/>
          <w:b/>
          <w:sz w:val="24"/>
          <w:szCs w:val="24"/>
        </w:rPr>
        <w:t>十、联系方式：</w:t>
      </w:r>
    </w:p>
    <w:p>
      <w:pPr>
        <w:spacing w:line="460" w:lineRule="exact"/>
        <w:ind w:firstLine="480" w:firstLineChars="200"/>
        <w:rPr>
          <w:rFonts w:ascii="楷体_GB2312" w:eastAsia="楷体_GB2312"/>
          <w:sz w:val="24"/>
          <w:szCs w:val="24"/>
        </w:rPr>
      </w:pPr>
      <w:r>
        <w:rPr>
          <w:rFonts w:hint="eastAsia" w:ascii="楷体_GB2312" w:eastAsia="楷体_GB2312"/>
          <w:sz w:val="24"/>
          <w:szCs w:val="24"/>
        </w:rPr>
        <w:t>地址：</w:t>
      </w:r>
      <w:r>
        <w:rPr>
          <w:rFonts w:hint="eastAsia" w:ascii="楷体_GB2312" w:eastAsia="楷体_GB2312"/>
          <w:sz w:val="24"/>
          <w:szCs w:val="24"/>
        </w:rPr>
        <w:tab/>
      </w:r>
      <w:r>
        <w:rPr>
          <w:rFonts w:hint="eastAsia" w:ascii="楷体_GB2312" w:eastAsia="楷体_GB2312"/>
          <w:sz w:val="24"/>
          <w:szCs w:val="24"/>
        </w:rPr>
        <w:t>四川省达州市通川区塔石路中段519号四川文理学院（莲湖校区）</w:t>
      </w:r>
    </w:p>
    <w:p>
      <w:pPr>
        <w:spacing w:line="460" w:lineRule="exact"/>
        <w:ind w:firstLine="480" w:firstLineChars="200"/>
        <w:rPr>
          <w:rFonts w:ascii="楷体_GB2312" w:eastAsia="楷体_GB2312"/>
          <w:sz w:val="24"/>
          <w:szCs w:val="24"/>
        </w:rPr>
      </w:pPr>
      <w:r>
        <w:rPr>
          <w:rFonts w:hint="eastAsia" w:ascii="楷体_GB2312" w:eastAsia="楷体_GB2312"/>
          <w:sz w:val="24"/>
          <w:szCs w:val="24"/>
        </w:rPr>
        <w:t>联系人：陈老师  电话：0818—2790101</w:t>
      </w:r>
    </w:p>
    <w:p>
      <w:pPr>
        <w:spacing w:line="460" w:lineRule="exact"/>
        <w:ind w:right="480"/>
        <w:jc w:val="right"/>
        <w:rPr>
          <w:rFonts w:ascii="楷体_GB2312" w:eastAsia="楷体_GB2312"/>
          <w:sz w:val="24"/>
          <w:szCs w:val="24"/>
        </w:rPr>
      </w:pPr>
    </w:p>
    <w:p>
      <w:pPr>
        <w:spacing w:line="460" w:lineRule="exact"/>
        <w:ind w:right="480"/>
        <w:jc w:val="right"/>
        <w:rPr>
          <w:rFonts w:ascii="楷体_GB2312" w:eastAsia="楷体_GB2312"/>
          <w:sz w:val="24"/>
          <w:szCs w:val="24"/>
        </w:rPr>
      </w:pPr>
      <w:r>
        <w:rPr>
          <w:rFonts w:hint="eastAsia" w:ascii="楷体_GB2312" w:eastAsia="楷体_GB2312"/>
          <w:sz w:val="24"/>
          <w:szCs w:val="24"/>
        </w:rPr>
        <w:t>四川文理学院招生就业处</w:t>
      </w:r>
    </w:p>
    <w:p>
      <w:pPr>
        <w:spacing w:line="460" w:lineRule="exact"/>
        <w:ind w:right="800"/>
        <w:jc w:val="right"/>
        <w:rPr>
          <w:rFonts w:ascii="楷体_GB2312" w:eastAsia="楷体_GB2312"/>
          <w:sz w:val="24"/>
          <w:szCs w:val="24"/>
        </w:rPr>
      </w:pPr>
      <w:r>
        <w:rPr>
          <w:rFonts w:hint="eastAsia" w:ascii="楷体_GB2312" w:eastAsia="楷体_GB2312"/>
          <w:sz w:val="24"/>
          <w:szCs w:val="24"/>
        </w:rPr>
        <w:t>2016年10月11日</w:t>
      </w: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bookmarkStart w:id="1" w:name="_GoBack"/>
      <w:bookmarkEnd w:id="1"/>
    </w:p>
    <w:p>
      <w:pPr>
        <w:jc w:val="center"/>
        <w:rPr>
          <w:rFonts w:ascii="黑体" w:hAnsi="黑体" w:eastAsia="黑体"/>
          <w:b/>
          <w:sz w:val="32"/>
          <w:szCs w:val="32"/>
        </w:rPr>
      </w:pPr>
      <w:r>
        <w:rPr>
          <w:rFonts w:hint="eastAsia" w:ascii="黑体" w:hAnsi="黑体" w:eastAsia="黑体"/>
          <w:b/>
          <w:sz w:val="32"/>
          <w:szCs w:val="32"/>
        </w:rPr>
        <w:t>投标承诺函</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四川文理学院：</w:t>
      </w:r>
    </w:p>
    <w:p>
      <w:pPr>
        <w:ind w:firstLine="560" w:firstLineChars="200"/>
        <w:rPr>
          <w:rFonts w:ascii="仿宋_GB2312" w:eastAsia="仿宋_GB2312"/>
          <w:sz w:val="28"/>
          <w:szCs w:val="28"/>
        </w:rPr>
      </w:pPr>
      <w:r>
        <w:rPr>
          <w:rFonts w:hint="eastAsia" w:ascii="仿宋_GB2312" w:eastAsia="仿宋_GB2312"/>
          <w:sz w:val="28"/>
          <w:szCs w:val="28"/>
        </w:rPr>
        <w:t>我方全面研究了</w:t>
      </w:r>
      <w:r>
        <w:rPr>
          <w:rFonts w:hint="eastAsia" w:ascii="仿宋_GB2312" w:eastAsia="仿宋_GB2312"/>
          <w:sz w:val="28"/>
          <w:szCs w:val="28"/>
          <w:u w:val="single"/>
        </w:rPr>
        <w:t>“                  ”</w:t>
      </w:r>
      <w:r>
        <w:rPr>
          <w:rFonts w:hint="eastAsia" w:ascii="仿宋_GB2312" w:eastAsia="仿宋_GB2312"/>
          <w:sz w:val="28"/>
          <w:szCs w:val="28"/>
        </w:rPr>
        <w:t>项目招标文件，决定参加贵单位组织的本项目投标。我方授权（姓名、职务）代表我方（投标单位的名称）全权处理本项目投标的有关事宜。</w:t>
      </w:r>
    </w:p>
    <w:p>
      <w:pPr>
        <w:ind w:firstLine="560" w:firstLineChars="200"/>
        <w:rPr>
          <w:rFonts w:ascii="仿宋_GB2312" w:eastAsia="仿宋_GB2312"/>
          <w:sz w:val="28"/>
          <w:szCs w:val="28"/>
        </w:rPr>
      </w:pPr>
      <w:r>
        <w:rPr>
          <w:rFonts w:hint="eastAsia" w:ascii="仿宋_GB2312" w:eastAsia="仿宋_GB2312"/>
          <w:sz w:val="28"/>
          <w:szCs w:val="28"/>
        </w:rPr>
        <w:t>一、我方承诺</w:t>
      </w:r>
      <w:r>
        <w:rPr>
          <w:rFonts w:hint="eastAsia" w:ascii="仿宋_GB2312" w:eastAsia="仿宋_GB2312"/>
          <w:sz w:val="28"/>
          <w:szCs w:val="28"/>
          <w:u w:val="single"/>
        </w:rPr>
        <w:t xml:space="preserve">        </w:t>
      </w:r>
      <w:r>
        <w:rPr>
          <w:rFonts w:hint="eastAsia" w:ascii="仿宋_GB2312" w:eastAsia="仿宋_GB2312"/>
          <w:sz w:val="28"/>
          <w:szCs w:val="28"/>
        </w:rPr>
        <w:t>（说明：填写“已经具备”或“不具备”）《中华人民共和国政府采购法》中规定的参加政府采购活动的投标人应当具备的条件：</w:t>
      </w:r>
    </w:p>
    <w:p>
      <w:pPr>
        <w:ind w:firstLine="420"/>
        <w:rPr>
          <w:rFonts w:ascii="仿宋_GB2312" w:eastAsia="仿宋_GB2312"/>
          <w:sz w:val="28"/>
          <w:szCs w:val="28"/>
        </w:rPr>
      </w:pPr>
      <w:r>
        <w:rPr>
          <w:rFonts w:hint="eastAsia" w:ascii="仿宋_GB2312" w:eastAsia="仿宋_GB2312"/>
          <w:sz w:val="28"/>
          <w:szCs w:val="28"/>
        </w:rPr>
        <w:t>(一)</w:t>
      </w:r>
      <w:r>
        <w:rPr>
          <w:rFonts w:hint="eastAsia" w:ascii="仿宋_GB2312" w:eastAsia="仿宋_GB2312"/>
          <w:sz w:val="28"/>
          <w:szCs w:val="28"/>
        </w:rPr>
        <w:tab/>
      </w:r>
      <w:r>
        <w:rPr>
          <w:rFonts w:hint="eastAsia" w:ascii="仿宋_GB2312" w:eastAsia="仿宋_GB2312"/>
          <w:sz w:val="28"/>
          <w:szCs w:val="28"/>
        </w:rPr>
        <w:t>具有良好的商业信誉和健全的财务会计制度；</w:t>
      </w:r>
    </w:p>
    <w:p>
      <w:pPr>
        <w:ind w:firstLine="420"/>
        <w:rPr>
          <w:rFonts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rPr>
        <w:tab/>
      </w:r>
      <w:r>
        <w:rPr>
          <w:rFonts w:hint="eastAsia" w:ascii="仿宋_GB2312" w:eastAsia="仿宋_GB2312"/>
          <w:sz w:val="28"/>
          <w:szCs w:val="28"/>
        </w:rPr>
        <w:t>具有履行合同所必须的设备和专业技术能力；</w:t>
      </w:r>
    </w:p>
    <w:p>
      <w:pPr>
        <w:ind w:firstLine="420"/>
        <w:rPr>
          <w:rFonts w:ascii="仿宋_GB2312" w:eastAsia="仿宋_GB2312"/>
          <w:sz w:val="28"/>
          <w:szCs w:val="28"/>
        </w:rPr>
      </w:pPr>
      <w:r>
        <w:rPr>
          <w:rFonts w:hint="eastAsia" w:ascii="仿宋_GB2312" w:eastAsia="仿宋_GB2312"/>
          <w:sz w:val="28"/>
          <w:szCs w:val="28"/>
        </w:rPr>
        <w:t>(三)</w:t>
      </w:r>
      <w:r>
        <w:rPr>
          <w:rFonts w:hint="eastAsia" w:ascii="仿宋_GB2312" w:eastAsia="仿宋_GB2312"/>
          <w:sz w:val="28"/>
          <w:szCs w:val="28"/>
        </w:rPr>
        <w:tab/>
      </w:r>
      <w:r>
        <w:rPr>
          <w:rFonts w:hint="eastAsia" w:ascii="仿宋_GB2312" w:eastAsia="仿宋_GB2312"/>
          <w:sz w:val="28"/>
          <w:szCs w:val="28"/>
        </w:rPr>
        <w:t>有依法缴纳税收和社会保障资金的良好记录；</w:t>
      </w:r>
    </w:p>
    <w:p>
      <w:pPr>
        <w:ind w:firstLine="420"/>
        <w:rPr>
          <w:rFonts w:ascii="仿宋_GB2312" w:eastAsia="仿宋_GB2312"/>
          <w:sz w:val="28"/>
          <w:szCs w:val="28"/>
        </w:rPr>
      </w:pPr>
      <w:r>
        <w:rPr>
          <w:rFonts w:hint="eastAsia" w:ascii="仿宋_GB2312" w:eastAsia="仿宋_GB2312"/>
          <w:sz w:val="28"/>
          <w:szCs w:val="28"/>
        </w:rPr>
        <w:t>(四)</w:t>
      </w:r>
      <w:r>
        <w:rPr>
          <w:rFonts w:hint="eastAsia" w:ascii="仿宋_GB2312" w:eastAsia="仿宋_GB2312"/>
          <w:sz w:val="28"/>
          <w:szCs w:val="28"/>
        </w:rPr>
        <w:tab/>
      </w:r>
      <w:r>
        <w:rPr>
          <w:rFonts w:hint="eastAsia" w:ascii="仿宋_GB2312" w:eastAsia="仿宋_GB2312"/>
          <w:sz w:val="28"/>
          <w:szCs w:val="28"/>
        </w:rPr>
        <w:t>参加政府采购活动前三年内，在经营活动中没有重大违法记录，遵守《中华人民共和国政府采购法》及其他相关的法律和法规。</w:t>
      </w:r>
    </w:p>
    <w:p>
      <w:pPr>
        <w:ind w:firstLine="420"/>
        <w:rPr>
          <w:rFonts w:ascii="仿宋_GB2312" w:eastAsia="仿宋_GB2312"/>
          <w:sz w:val="28"/>
          <w:szCs w:val="28"/>
        </w:rPr>
      </w:pPr>
      <w:r>
        <w:rPr>
          <w:rFonts w:hint="eastAsia" w:ascii="仿宋_GB2312" w:eastAsia="仿宋_GB2312"/>
          <w:sz w:val="28"/>
          <w:szCs w:val="28"/>
        </w:rPr>
        <w:t>(五)</w:t>
      </w:r>
      <w:r>
        <w:rPr>
          <w:rFonts w:hint="eastAsia" w:ascii="仿宋_GB2312" w:eastAsia="仿宋_GB2312"/>
          <w:sz w:val="28"/>
          <w:szCs w:val="28"/>
        </w:rPr>
        <w:tab/>
      </w:r>
      <w:r>
        <w:rPr>
          <w:rFonts w:hint="eastAsia" w:ascii="仿宋_GB2312" w:eastAsia="仿宋_GB2312"/>
          <w:sz w:val="28"/>
          <w:szCs w:val="28"/>
        </w:rPr>
        <w:t>法律、行政法规规定的其他条件；</w:t>
      </w:r>
    </w:p>
    <w:p>
      <w:pPr>
        <w:ind w:firstLine="560" w:firstLineChars="200"/>
        <w:rPr>
          <w:rFonts w:ascii="仿宋_GB2312" w:eastAsia="仿宋_GB2312"/>
          <w:sz w:val="28"/>
          <w:szCs w:val="28"/>
        </w:rPr>
      </w:pPr>
      <w:r>
        <w:rPr>
          <w:rFonts w:hint="eastAsia" w:ascii="仿宋_GB2312" w:eastAsia="仿宋_GB2312"/>
          <w:sz w:val="28"/>
          <w:szCs w:val="28"/>
        </w:rPr>
        <w:t>二、我方自愿按照招标文件规定的各项要求向采购人提供所需货物/服务，总投标价为人民币元</w:t>
      </w:r>
      <w:r>
        <w:rPr>
          <w:rFonts w:hint="eastAsia" w:ascii="仿宋_GB2312" w:eastAsia="仿宋_GB2312"/>
          <w:sz w:val="28"/>
          <w:szCs w:val="28"/>
          <w:u w:val="single"/>
        </w:rPr>
        <w:t xml:space="preserve">           </w:t>
      </w:r>
      <w:r>
        <w:rPr>
          <w:rFonts w:hint="eastAsia" w:ascii="仿宋_GB2312" w:eastAsia="仿宋_GB2312"/>
          <w:sz w:val="28"/>
          <w:szCs w:val="28"/>
        </w:rPr>
        <w:t>（大写：）。</w:t>
      </w:r>
    </w:p>
    <w:p>
      <w:pPr>
        <w:ind w:firstLine="560" w:firstLineChars="200"/>
        <w:rPr>
          <w:rFonts w:ascii="仿宋_GB2312" w:eastAsia="仿宋_GB2312"/>
          <w:sz w:val="28"/>
          <w:szCs w:val="28"/>
        </w:rPr>
      </w:pPr>
      <w:r>
        <w:rPr>
          <w:rFonts w:hint="eastAsia" w:ascii="仿宋_GB2312" w:eastAsia="仿宋_GB2312"/>
          <w:sz w:val="28"/>
          <w:szCs w:val="28"/>
        </w:rPr>
        <w:t>三、我方已详细阅读和审查了全部招标文件，包括修改文件（如有）以及全部相关资料和有关附件，并对上述文件均无异议。</w:t>
      </w:r>
    </w:p>
    <w:p>
      <w:pPr>
        <w:ind w:firstLine="560" w:firstLineChars="200"/>
        <w:rPr>
          <w:rFonts w:ascii="仿宋_GB2312" w:eastAsia="仿宋_GB2312"/>
          <w:sz w:val="28"/>
          <w:szCs w:val="28"/>
        </w:rPr>
      </w:pPr>
      <w:r>
        <w:rPr>
          <w:rFonts w:hint="eastAsia" w:ascii="仿宋_GB2312" w:eastAsia="仿宋_GB2312"/>
          <w:sz w:val="28"/>
          <w:szCs w:val="28"/>
        </w:rPr>
        <w:t>四、一旦我方中标，我方将严格履行合同规定的责任和义务。</w:t>
      </w:r>
    </w:p>
    <w:p>
      <w:pPr>
        <w:ind w:firstLine="560" w:firstLineChars="200"/>
        <w:rPr>
          <w:rFonts w:ascii="仿宋_GB2312" w:eastAsia="仿宋_GB2312"/>
          <w:sz w:val="28"/>
          <w:szCs w:val="28"/>
        </w:rPr>
      </w:pPr>
      <w:r>
        <w:rPr>
          <w:rFonts w:hint="eastAsia" w:ascii="仿宋_GB2312" w:eastAsia="仿宋_GB2312"/>
          <w:sz w:val="28"/>
          <w:szCs w:val="28"/>
        </w:rPr>
        <w:t>五、我方同意按照招标文件的要求并承诺：下列任何情况发生时，我方将将承担全部责任：</w:t>
      </w:r>
    </w:p>
    <w:p>
      <w:pPr>
        <w:ind w:firstLine="560" w:firstLineChars="200"/>
        <w:rPr>
          <w:rFonts w:ascii="仿宋_GB2312" w:eastAsia="仿宋_GB2312"/>
          <w:sz w:val="28"/>
          <w:szCs w:val="28"/>
        </w:rPr>
      </w:pPr>
      <w:r>
        <w:rPr>
          <w:rFonts w:hint="eastAsia" w:ascii="仿宋_GB2312" w:eastAsia="仿宋_GB2312"/>
          <w:sz w:val="28"/>
          <w:szCs w:val="28"/>
        </w:rPr>
        <w:t>（一）如果我方在投标有效期内撤回投标；</w:t>
      </w:r>
    </w:p>
    <w:p>
      <w:pPr>
        <w:ind w:firstLine="560" w:firstLineChars="200"/>
        <w:rPr>
          <w:rFonts w:ascii="仿宋_GB2312" w:eastAsia="仿宋_GB2312"/>
          <w:sz w:val="28"/>
          <w:szCs w:val="28"/>
        </w:rPr>
      </w:pPr>
      <w:r>
        <w:rPr>
          <w:rFonts w:hint="eastAsia" w:ascii="仿宋_GB2312" w:eastAsia="仿宋_GB2312"/>
          <w:sz w:val="28"/>
          <w:szCs w:val="28"/>
        </w:rPr>
        <w:t>（二）我方提供了虚假响应招标文件的投标文件；</w:t>
      </w:r>
    </w:p>
    <w:p>
      <w:pPr>
        <w:ind w:firstLine="560" w:firstLineChars="200"/>
        <w:rPr>
          <w:rFonts w:ascii="仿宋_GB2312" w:eastAsia="仿宋_GB2312"/>
          <w:sz w:val="28"/>
          <w:szCs w:val="28"/>
        </w:rPr>
      </w:pPr>
      <w:r>
        <w:rPr>
          <w:rFonts w:hint="eastAsia" w:ascii="仿宋_GB2312" w:eastAsia="仿宋_GB2312"/>
          <w:sz w:val="28"/>
          <w:szCs w:val="28"/>
        </w:rPr>
        <w:t>（三）在投标过程中有违规违纪行为；</w:t>
      </w:r>
    </w:p>
    <w:p>
      <w:pPr>
        <w:ind w:firstLine="560" w:firstLineChars="200"/>
        <w:rPr>
          <w:rFonts w:ascii="仿宋_GB2312" w:eastAsia="仿宋_GB2312"/>
          <w:sz w:val="28"/>
          <w:szCs w:val="28"/>
        </w:rPr>
      </w:pPr>
      <w:r>
        <w:rPr>
          <w:rFonts w:hint="eastAsia" w:ascii="仿宋_GB2312" w:eastAsia="仿宋_GB2312"/>
          <w:sz w:val="28"/>
          <w:szCs w:val="28"/>
        </w:rPr>
        <w:t>（四）我方在投标有效期内收到中标通知书后，由于我方原因未能按照招标文件要求提交履约保证金或与采购人签订并履行合同。</w:t>
      </w:r>
    </w:p>
    <w:p>
      <w:pPr>
        <w:ind w:firstLine="560" w:firstLineChars="200"/>
        <w:rPr>
          <w:rFonts w:ascii="仿宋_GB2312" w:eastAsia="仿宋_GB2312"/>
          <w:sz w:val="28"/>
          <w:szCs w:val="28"/>
        </w:rPr>
      </w:pPr>
      <w:r>
        <w:rPr>
          <w:rFonts w:hint="eastAsia" w:ascii="仿宋_GB2312" w:eastAsia="仿宋_GB2312"/>
          <w:sz w:val="28"/>
          <w:szCs w:val="28"/>
        </w:rPr>
        <w:t>六、投标有效期为从投标截止之日起30天。</w:t>
      </w:r>
    </w:p>
    <w:p>
      <w:pPr>
        <w:ind w:firstLine="560" w:firstLineChars="200"/>
        <w:rPr>
          <w:rFonts w:ascii="仿宋_GB2312" w:eastAsia="仿宋_GB2312"/>
          <w:sz w:val="28"/>
          <w:szCs w:val="28"/>
        </w:rPr>
      </w:pPr>
      <w:r>
        <w:rPr>
          <w:rFonts w:hint="eastAsia" w:ascii="仿宋_GB2312" w:eastAsia="仿宋_GB2312"/>
          <w:sz w:val="28"/>
          <w:szCs w:val="28"/>
        </w:rPr>
        <w:t>七、我方为本项目提交的投标文件正本1份。</w:t>
      </w:r>
    </w:p>
    <w:p>
      <w:pPr>
        <w:ind w:firstLine="560" w:firstLineChars="200"/>
        <w:rPr>
          <w:rFonts w:ascii="仿宋_GB2312" w:eastAsia="仿宋_GB2312"/>
          <w:sz w:val="28"/>
          <w:szCs w:val="28"/>
        </w:rPr>
      </w:pPr>
      <w:r>
        <w:rPr>
          <w:rFonts w:hint="eastAsia" w:ascii="仿宋_GB2312" w:eastAsia="仿宋_GB2312"/>
          <w:sz w:val="28"/>
          <w:szCs w:val="28"/>
        </w:rPr>
        <w:t>八、我方愿意提供贵中心可能另外要求的，与投标有关的文件资料，并保证我方已提供和将要提供的文件资料是真实、准确的。</w:t>
      </w:r>
    </w:p>
    <w:p>
      <w:pPr>
        <w:ind w:firstLine="560" w:firstLineChars="200"/>
        <w:rPr>
          <w:rFonts w:ascii="仿宋_GB2312" w:eastAsia="仿宋_GB2312"/>
          <w:sz w:val="28"/>
          <w:szCs w:val="28"/>
        </w:rPr>
      </w:pPr>
      <w:r>
        <w:rPr>
          <w:rFonts w:hint="eastAsia" w:ascii="仿宋_GB2312" w:eastAsia="仿宋_GB2312"/>
          <w:sz w:val="28"/>
          <w:szCs w:val="28"/>
        </w:rPr>
        <w:t>九、我方完全理解采购人不一定将合同授予最低报价的投标人的行为。</w:t>
      </w:r>
    </w:p>
    <w:p>
      <w:pPr>
        <w:ind w:firstLine="420"/>
        <w:rPr>
          <w:rFonts w:ascii="仿宋_GB2312" w:eastAsia="仿宋_GB2312"/>
          <w:sz w:val="28"/>
          <w:szCs w:val="28"/>
        </w:rPr>
      </w:pPr>
      <w:r>
        <w:rPr>
          <w:rFonts w:hint="eastAsia" w:ascii="仿宋_GB2312" w:eastAsia="仿宋_GB2312"/>
          <w:sz w:val="28"/>
          <w:szCs w:val="28"/>
        </w:rPr>
        <w:t>投标人名称：（盖章）</w:t>
      </w:r>
    </w:p>
    <w:p>
      <w:pPr>
        <w:ind w:firstLine="420"/>
        <w:rPr>
          <w:rFonts w:ascii="仿宋_GB2312" w:eastAsia="仿宋_GB2312"/>
          <w:sz w:val="28"/>
          <w:szCs w:val="28"/>
        </w:rPr>
      </w:pPr>
      <w:r>
        <w:rPr>
          <w:rFonts w:hint="eastAsia" w:ascii="仿宋_GB2312" w:eastAsia="仿宋_GB2312"/>
          <w:sz w:val="28"/>
          <w:szCs w:val="28"/>
        </w:rPr>
        <w:t>法定代表人或授权代表（签字）：</w:t>
      </w:r>
    </w:p>
    <w:p>
      <w:pPr>
        <w:ind w:firstLine="420"/>
        <w:rPr>
          <w:rFonts w:ascii="仿宋_GB2312" w:eastAsia="仿宋_GB2312"/>
          <w:sz w:val="28"/>
          <w:szCs w:val="28"/>
        </w:rPr>
      </w:pPr>
      <w:r>
        <w:rPr>
          <w:rFonts w:hint="eastAsia" w:ascii="仿宋_GB2312" w:eastAsia="仿宋_GB2312"/>
          <w:sz w:val="28"/>
          <w:szCs w:val="28"/>
        </w:rPr>
        <w:t>通讯地址：</w:t>
      </w:r>
    </w:p>
    <w:p>
      <w:pPr>
        <w:ind w:firstLine="420"/>
        <w:rPr>
          <w:rFonts w:ascii="仿宋_GB2312" w:eastAsia="仿宋_GB2312"/>
          <w:sz w:val="28"/>
          <w:szCs w:val="28"/>
        </w:rPr>
      </w:pPr>
      <w:r>
        <w:rPr>
          <w:rFonts w:hint="eastAsia" w:ascii="仿宋_GB2312" w:eastAsia="仿宋_GB2312"/>
          <w:sz w:val="28"/>
          <w:szCs w:val="28"/>
        </w:rPr>
        <w:t>邮政编码：</w:t>
      </w:r>
    </w:p>
    <w:p>
      <w:pPr>
        <w:ind w:firstLine="420"/>
        <w:rPr>
          <w:rFonts w:ascii="仿宋_GB2312" w:eastAsia="仿宋_GB2312"/>
          <w:sz w:val="28"/>
          <w:szCs w:val="28"/>
        </w:rPr>
      </w:pPr>
      <w:r>
        <w:rPr>
          <w:rFonts w:hint="eastAsia" w:ascii="仿宋_GB2312" w:eastAsia="仿宋_GB2312"/>
          <w:sz w:val="28"/>
          <w:szCs w:val="28"/>
        </w:rPr>
        <w:t>联系电话：</w:t>
      </w:r>
    </w:p>
    <w:p>
      <w:pPr>
        <w:ind w:firstLine="420"/>
        <w:rPr>
          <w:rFonts w:ascii="仿宋_GB2312" w:eastAsia="仿宋_GB2312"/>
          <w:sz w:val="28"/>
          <w:szCs w:val="28"/>
        </w:rPr>
      </w:pPr>
      <w:r>
        <w:rPr>
          <w:rFonts w:hint="eastAsia" w:ascii="仿宋_GB2312" w:eastAsia="仿宋_GB2312"/>
          <w:sz w:val="28"/>
          <w:szCs w:val="28"/>
        </w:rPr>
        <w:t>传真：</w:t>
      </w:r>
    </w:p>
    <w:p>
      <w:pPr>
        <w:ind w:firstLine="420"/>
        <w:rPr>
          <w:rFonts w:ascii="仿宋_GB2312" w:eastAsia="仿宋_GB2312"/>
          <w:sz w:val="28"/>
          <w:szCs w:val="28"/>
        </w:rPr>
      </w:pPr>
      <w:r>
        <w:rPr>
          <w:rFonts w:hint="eastAsia" w:ascii="仿宋_GB2312" w:eastAsia="仿宋_GB2312"/>
          <w:sz w:val="28"/>
          <w:szCs w:val="28"/>
        </w:rPr>
        <w:t>日期：</w:t>
      </w:r>
    </w:p>
    <w:p>
      <w:pPr>
        <w:widowControl/>
        <w:jc w:val="center"/>
        <w:rPr>
          <w:rFonts w:ascii="黑体" w:hAnsi="黑体" w:eastAsia="黑体"/>
          <w:b/>
          <w:sz w:val="32"/>
          <w:szCs w:val="32"/>
        </w:rPr>
      </w:pPr>
      <w:r>
        <w:rPr>
          <w:rFonts w:hint="eastAsia" w:ascii="仿宋_GB2312" w:hAnsi="Arial" w:eastAsia="仿宋_GB2312"/>
          <w:b/>
          <w:sz w:val="28"/>
          <w:szCs w:val="28"/>
        </w:rPr>
        <w:br w:type="page"/>
      </w:r>
      <w:r>
        <w:rPr>
          <w:rFonts w:hint="eastAsia" w:ascii="黑体" w:hAnsi="黑体" w:eastAsia="黑体"/>
          <w:b/>
          <w:sz w:val="32"/>
          <w:szCs w:val="32"/>
        </w:rPr>
        <w:t>法定代表人授权书</w:t>
      </w:r>
    </w:p>
    <w:p>
      <w:pPr>
        <w:rPr>
          <w:rFonts w:ascii="仿宋_GB2312" w:eastAsia="仿宋_GB2312"/>
          <w:sz w:val="28"/>
          <w:szCs w:val="28"/>
        </w:rPr>
      </w:pPr>
      <w:r>
        <w:rPr>
          <w:rFonts w:hint="eastAsia" w:ascii="仿宋_GB2312" w:eastAsia="仿宋_GB2312"/>
          <w:sz w:val="28"/>
          <w:szCs w:val="28"/>
        </w:rPr>
        <w:t>四川文理学院：</w:t>
      </w:r>
    </w:p>
    <w:p>
      <w:pPr>
        <w:ind w:firstLine="560" w:firstLineChars="200"/>
        <w:rPr>
          <w:rFonts w:ascii="仿宋_GB2312" w:eastAsia="仿宋_GB2312"/>
          <w:sz w:val="28"/>
          <w:szCs w:val="28"/>
        </w:rPr>
      </w:pPr>
      <w:r>
        <w:rPr>
          <w:rFonts w:hint="eastAsia" w:ascii="仿宋_GB2312" w:eastAsia="仿宋_GB2312"/>
          <w:sz w:val="28"/>
          <w:szCs w:val="28"/>
        </w:rPr>
        <w:t>本授权声明：</w:t>
      </w:r>
      <w:r>
        <w:rPr>
          <w:rFonts w:hint="eastAsia" w:ascii="仿宋_GB2312" w:eastAsia="仿宋_GB2312"/>
          <w:sz w:val="28"/>
          <w:szCs w:val="28"/>
          <w:u w:val="single"/>
        </w:rPr>
        <w:t xml:space="preserve">          </w:t>
      </w:r>
      <w:r>
        <w:rPr>
          <w:rFonts w:hint="eastAsia" w:ascii="仿宋_GB2312" w:eastAsia="仿宋_GB2312"/>
          <w:sz w:val="28"/>
          <w:szCs w:val="28"/>
        </w:rPr>
        <w:t>（投标人名称）（法定代表人姓名、职务）授权（被授权人姓名、职务）为我方</w:t>
      </w:r>
      <w:r>
        <w:rPr>
          <w:rFonts w:hint="eastAsia" w:ascii="仿宋_GB2312" w:eastAsia="仿宋_GB2312"/>
          <w:sz w:val="28"/>
          <w:szCs w:val="28"/>
          <w:u w:val="single"/>
        </w:rPr>
        <w:t>“         ”</w:t>
      </w:r>
      <w:r>
        <w:rPr>
          <w:rFonts w:hint="eastAsia" w:ascii="仿宋_GB2312" w:eastAsia="仿宋_GB2312"/>
          <w:sz w:val="28"/>
          <w:szCs w:val="28"/>
        </w:rPr>
        <w:t>项目投标活动的合法代表，以我方名义全权处理该项目有关投标、签订合同以及执行合同等一切事宜。</w:t>
      </w:r>
    </w:p>
    <w:p>
      <w:pPr>
        <w:ind w:firstLine="560" w:firstLineChars="200"/>
        <w:rPr>
          <w:rFonts w:ascii="仿宋_GB2312" w:eastAsia="仿宋_GB2312"/>
          <w:sz w:val="28"/>
          <w:szCs w:val="28"/>
        </w:rPr>
      </w:pPr>
      <w:r>
        <w:rPr>
          <w:rFonts w:hint="eastAsia" w:ascii="仿宋_GB2312" w:eastAsia="仿宋_GB2312"/>
          <w:sz w:val="28"/>
          <w:szCs w:val="28"/>
        </w:rPr>
        <w:t>特此声明。</w:t>
      </w:r>
    </w:p>
    <w:p>
      <w:pPr>
        <w:rPr>
          <w:rFonts w:ascii="仿宋_GB2312" w:eastAsia="仿宋_GB2312"/>
          <w:sz w:val="28"/>
          <w:szCs w:val="28"/>
        </w:rPr>
      </w:pP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法定代表人签字：</w:t>
      </w:r>
    </w:p>
    <w:p>
      <w:pPr>
        <w:ind w:firstLine="560" w:firstLineChars="200"/>
        <w:rPr>
          <w:rFonts w:ascii="仿宋_GB2312" w:eastAsia="仿宋_GB2312"/>
          <w:sz w:val="28"/>
          <w:szCs w:val="28"/>
        </w:rPr>
      </w:pPr>
      <w:r>
        <w:rPr>
          <w:rFonts w:hint="eastAsia" w:ascii="仿宋_GB2312" w:eastAsia="仿宋_GB2312"/>
          <w:sz w:val="28"/>
          <w:szCs w:val="28"/>
        </w:rPr>
        <w:t>授权代表签字：</w:t>
      </w:r>
    </w:p>
    <w:p>
      <w:pPr>
        <w:ind w:firstLine="560" w:firstLineChars="200"/>
        <w:rPr>
          <w:rFonts w:ascii="仿宋_GB2312" w:eastAsia="仿宋_GB2312"/>
          <w:sz w:val="28"/>
          <w:szCs w:val="28"/>
        </w:rPr>
      </w:pPr>
      <w:r>
        <w:rPr>
          <w:rFonts w:hint="eastAsia" w:ascii="仿宋_GB2312" w:eastAsia="仿宋_GB2312"/>
          <w:sz w:val="28"/>
          <w:szCs w:val="28"/>
        </w:rPr>
        <w:t>投标人名称：（盖章）</w:t>
      </w:r>
    </w:p>
    <w:p>
      <w:pPr>
        <w:ind w:firstLine="560" w:firstLineChars="200"/>
        <w:rPr>
          <w:rFonts w:ascii="仿宋_GB2312" w:eastAsia="仿宋_GB2312"/>
          <w:sz w:val="28"/>
          <w:szCs w:val="28"/>
        </w:rPr>
      </w:pPr>
      <w:r>
        <w:rPr>
          <w:rFonts w:hint="eastAsia" w:ascii="仿宋_GB2312" w:eastAsia="仿宋_GB2312"/>
          <w:sz w:val="28"/>
          <w:szCs w:val="28"/>
        </w:rPr>
        <w:t>日期：</w:t>
      </w: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注:  1.如法定代表人参与投标的,则不需该授权书。</w:t>
      </w:r>
    </w:p>
    <w:p>
      <w:pPr>
        <w:ind w:firstLine="1260" w:firstLineChars="450"/>
        <w:rPr>
          <w:rFonts w:ascii="仿宋_GB2312" w:eastAsia="仿宋_GB2312"/>
          <w:sz w:val="28"/>
          <w:szCs w:val="28"/>
        </w:rPr>
      </w:pPr>
      <w:r>
        <w:rPr>
          <w:rFonts w:hint="eastAsia" w:ascii="仿宋_GB2312" w:eastAsia="仿宋_GB2312"/>
          <w:sz w:val="28"/>
          <w:szCs w:val="28"/>
        </w:rPr>
        <w:t>2.须附上法定代表人及投标代表的身份证复印件,并加盖鲜章。</w:t>
      </w:r>
    </w:p>
    <w:p>
      <w:pPr>
        <w:rPr>
          <w:rFonts w:ascii="仿宋_GB2312" w:eastAsia="仿宋_GB2312"/>
          <w:sz w:val="28"/>
          <w:szCs w:val="28"/>
        </w:rPr>
      </w:pPr>
    </w:p>
    <w:p>
      <w:pPr>
        <w:rPr>
          <w:rFonts w:ascii="仿宋_GB2312" w:eastAsia="仿宋_GB2312"/>
          <w:sz w:val="28"/>
          <w:szCs w:val="28"/>
        </w:rPr>
      </w:pPr>
    </w:p>
    <w:p>
      <w:pPr>
        <w:ind w:right="420" w:firstLine="560" w:firstLineChars="200"/>
        <w:jc w:val="left"/>
        <w:rPr>
          <w:rFonts w:ascii="仿宋_GB2312" w:hAnsi="宋体" w:eastAsia="仿宋_GB2312"/>
          <w:color w:val="000000"/>
          <w:sz w:val="28"/>
          <w:szCs w:val="28"/>
        </w:rPr>
      </w:pPr>
    </w:p>
    <w:p>
      <w:pPr>
        <w:ind w:right="420" w:firstLine="560" w:firstLineChars="200"/>
        <w:jc w:val="left"/>
        <w:rPr>
          <w:rFonts w:ascii="仿宋_GB2312" w:hAnsi="宋体" w:eastAsia="仿宋_GB2312"/>
          <w:color w:val="000000"/>
          <w:sz w:val="28"/>
          <w:szCs w:val="28"/>
        </w:rPr>
      </w:pPr>
    </w:p>
    <w:p>
      <w:pPr>
        <w:pStyle w:val="4"/>
        <w:spacing w:line="240" w:lineRule="auto"/>
        <w:ind w:left="0" w:leftChars="0"/>
        <w:jc w:val="center"/>
        <w:rPr>
          <w:rFonts w:ascii="仿宋_GB2312" w:hAnsi="Arial" w:eastAsia="仿宋_GB2312"/>
          <w:b/>
          <w:sz w:val="28"/>
          <w:szCs w:val="28"/>
        </w:rPr>
      </w:pPr>
    </w:p>
    <w:p>
      <w:pPr>
        <w:pStyle w:val="4"/>
        <w:spacing w:line="240" w:lineRule="auto"/>
        <w:ind w:left="0" w:leftChars="0"/>
        <w:jc w:val="center"/>
        <w:rPr>
          <w:rFonts w:ascii="黑体" w:hAnsi="黑体" w:eastAsia="黑体"/>
          <w:b/>
          <w:sz w:val="32"/>
          <w:szCs w:val="32"/>
        </w:rPr>
      </w:pPr>
      <w:bookmarkStart w:id="0" w:name="_Toc217446086"/>
      <w:r>
        <w:rPr>
          <w:rFonts w:hint="eastAsia" w:ascii="黑体" w:hAnsi="黑体" w:eastAsia="黑体"/>
          <w:b/>
          <w:sz w:val="32"/>
          <w:szCs w:val="32"/>
        </w:rPr>
        <w:t>分项报价明细表</w:t>
      </w:r>
      <w:bookmarkEnd w:id="0"/>
    </w:p>
    <w:p>
      <w:pPr>
        <w:ind w:firstLine="560" w:firstLineChars="200"/>
        <w:rPr>
          <w:rFonts w:ascii="仿宋_GB2312" w:hAnsi="宋体" w:eastAsia="仿宋_GB2312"/>
          <w:bCs/>
          <w:color w:val="000000"/>
          <w:sz w:val="28"/>
          <w:szCs w:val="28"/>
        </w:rPr>
      </w:pPr>
      <w:r>
        <w:rPr>
          <w:rFonts w:hint="eastAsia" w:ascii="仿宋_GB2312" w:hAnsi="宋体" w:eastAsia="仿宋_GB2312"/>
          <w:bCs/>
          <w:color w:val="000000"/>
          <w:sz w:val="28"/>
          <w:szCs w:val="28"/>
        </w:rPr>
        <w:t>附：报价单格式</w:t>
      </w:r>
    </w:p>
    <w:tbl>
      <w:tblPr>
        <w:tblStyle w:val="8"/>
        <w:tblW w:w="8999" w:type="dxa"/>
        <w:jc w:val="center"/>
        <w:tblInd w:w="-116" w:type="dxa"/>
        <w:tblLayout w:type="fixed"/>
        <w:tblCellMar>
          <w:top w:w="0" w:type="dxa"/>
          <w:left w:w="108" w:type="dxa"/>
          <w:bottom w:w="0" w:type="dxa"/>
          <w:right w:w="108" w:type="dxa"/>
        </w:tblCellMar>
      </w:tblPr>
      <w:tblGrid>
        <w:gridCol w:w="959"/>
        <w:gridCol w:w="3060"/>
        <w:gridCol w:w="767"/>
        <w:gridCol w:w="851"/>
        <w:gridCol w:w="1134"/>
        <w:gridCol w:w="1275"/>
        <w:gridCol w:w="953"/>
      </w:tblGrid>
      <w:tr>
        <w:tblPrEx>
          <w:tblLayout w:type="fixed"/>
          <w:tblCellMar>
            <w:top w:w="0" w:type="dxa"/>
            <w:left w:w="108" w:type="dxa"/>
            <w:bottom w:w="0" w:type="dxa"/>
            <w:right w:w="108" w:type="dxa"/>
          </w:tblCellMar>
        </w:tblPrEx>
        <w:trPr>
          <w:trHeight w:val="540" w:hRule="atLeast"/>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3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名称</w:t>
            </w:r>
          </w:p>
        </w:tc>
        <w:tc>
          <w:tcPr>
            <w:tcW w:w="7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单位</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数量</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单价/元</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金额/元</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备注</w:t>
            </w:r>
          </w:p>
        </w:tc>
      </w:tr>
      <w:tr>
        <w:tblPrEx>
          <w:tblLayout w:type="fixed"/>
          <w:tblCellMar>
            <w:top w:w="0" w:type="dxa"/>
            <w:left w:w="108" w:type="dxa"/>
            <w:bottom w:w="0" w:type="dxa"/>
            <w:right w:w="108" w:type="dxa"/>
          </w:tblCellMar>
        </w:tblPrEx>
        <w:trPr>
          <w:trHeight w:val="405" w:hRule="atLeast"/>
          <w:jc w:val="center"/>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30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调研费用</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9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525" w:hRule="atLeast"/>
          <w:jc w:val="center"/>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30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编制费用</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9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50" w:hRule="atLeast"/>
          <w:jc w:val="center"/>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30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印刷费用</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9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50" w:hRule="atLeast"/>
          <w:jc w:val="center"/>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3060" w:type="dxa"/>
            <w:tcBorders>
              <w:top w:val="nil"/>
              <w:left w:val="nil"/>
              <w:bottom w:val="single" w:color="auto" w:sz="4" w:space="0"/>
              <w:right w:val="single" w:color="auto" w:sz="4" w:space="0"/>
            </w:tcBorders>
            <w:shd w:val="clear" w:color="auto" w:fill="auto"/>
            <w:vAlign w:val="center"/>
          </w:tcPr>
          <w:p>
            <w:pPr>
              <w:rPr>
                <w:rFonts w:ascii="仿宋_GB2312" w:eastAsia="仿宋_GB2312"/>
                <w:sz w:val="28"/>
                <w:szCs w:val="28"/>
              </w:rPr>
            </w:pPr>
            <w:r>
              <w:rPr>
                <w:rFonts w:ascii="仿宋_GB2312" w:eastAsia="仿宋_GB2312"/>
                <w:sz w:val="28"/>
                <w:szCs w:val="28"/>
              </w:rPr>
              <w:t>运输费用</w:t>
            </w: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9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50" w:hRule="atLeast"/>
          <w:jc w:val="center"/>
        </w:trPr>
        <w:tc>
          <w:tcPr>
            <w:tcW w:w="9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8"/>
                <w:szCs w:val="28"/>
              </w:rPr>
            </w:pPr>
          </w:p>
        </w:tc>
        <w:tc>
          <w:tcPr>
            <w:tcW w:w="3060" w:type="dxa"/>
            <w:tcBorders>
              <w:top w:val="nil"/>
              <w:left w:val="nil"/>
              <w:bottom w:val="single" w:color="auto" w:sz="4" w:space="0"/>
              <w:right w:val="single" w:color="auto" w:sz="4" w:space="0"/>
            </w:tcBorders>
            <w:shd w:val="clear" w:color="auto" w:fill="auto"/>
            <w:vAlign w:val="center"/>
          </w:tcPr>
          <w:p>
            <w:pPr>
              <w:rPr>
                <w:rFonts w:ascii="仿宋_GB2312" w:eastAsia="仿宋_GB2312"/>
                <w:sz w:val="28"/>
                <w:szCs w:val="28"/>
              </w:rPr>
            </w:pPr>
          </w:p>
        </w:tc>
        <w:tc>
          <w:tcPr>
            <w:tcW w:w="76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127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8"/>
                <w:szCs w:val="28"/>
              </w:rPr>
            </w:pPr>
          </w:p>
        </w:tc>
        <w:tc>
          <w:tcPr>
            <w:tcW w:w="9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p>
        </w:tc>
      </w:tr>
      <w:tr>
        <w:tblPrEx>
          <w:tblLayout w:type="fixed"/>
          <w:tblCellMar>
            <w:top w:w="0" w:type="dxa"/>
            <w:left w:w="108" w:type="dxa"/>
            <w:bottom w:w="0" w:type="dxa"/>
            <w:right w:w="108" w:type="dxa"/>
          </w:tblCellMar>
        </w:tblPrEx>
        <w:trPr>
          <w:trHeight w:val="882" w:hRule="atLeast"/>
          <w:jc w:val="center"/>
        </w:trPr>
        <w:tc>
          <w:tcPr>
            <w:tcW w:w="899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合计金额：                           大写：</w:t>
            </w:r>
          </w:p>
        </w:tc>
      </w:tr>
    </w:tbl>
    <w:p>
      <w:pPr>
        <w:ind w:left="1" w:firstLine="664" w:firstLineChars="237"/>
        <w:rPr>
          <w:rFonts w:ascii="仿宋_GB2312" w:hAnsi="宋体" w:eastAsia="仿宋_GB2312"/>
          <w:bCs/>
          <w:color w:val="000000"/>
          <w:sz w:val="28"/>
          <w:szCs w:val="28"/>
        </w:rPr>
      </w:pPr>
      <w:r>
        <w:rPr>
          <w:rFonts w:hint="eastAsia" w:ascii="仿宋_GB2312" w:eastAsia="仿宋_GB2312"/>
          <w:sz w:val="28"/>
          <w:szCs w:val="28"/>
        </w:rPr>
        <w:t>注:投标人必须按“</w:t>
      </w:r>
      <w:r>
        <w:rPr>
          <w:rFonts w:hint="eastAsia" w:ascii="仿宋_GB2312" w:eastAsia="仿宋_GB2312"/>
          <w:bCs/>
          <w:sz w:val="28"/>
          <w:szCs w:val="28"/>
        </w:rPr>
        <w:t>分项报价明细表”的格式</w:t>
      </w:r>
      <w:r>
        <w:rPr>
          <w:rFonts w:hint="eastAsia" w:ascii="仿宋_GB2312" w:eastAsia="仿宋_GB2312"/>
          <w:sz w:val="28"/>
          <w:szCs w:val="28"/>
        </w:rPr>
        <w:t>详细报出投标总价的各个组成部分的报价，否则作无效投标处理。</w:t>
      </w:r>
    </w:p>
    <w:p>
      <w:pPr>
        <w:jc w:val="left"/>
        <w:rPr>
          <w:rFonts w:ascii="仿宋_GB2312" w:hAnsi="宋体" w:eastAsia="仿宋_GB2312"/>
          <w:bCs/>
          <w:color w:val="000000"/>
          <w:sz w:val="28"/>
          <w:szCs w:val="28"/>
        </w:rPr>
      </w:pPr>
    </w:p>
    <w:p>
      <w:pPr>
        <w:adjustRightInd w:val="0"/>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投标人名称：        （盖章）</w:t>
      </w:r>
    </w:p>
    <w:p>
      <w:pPr>
        <w:adjustRightInd w:val="0"/>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法定代表人或授权代表（签字）：</w:t>
      </w:r>
    </w:p>
    <w:p>
      <w:pPr>
        <w:pStyle w:val="2"/>
        <w:tabs>
          <w:tab w:val="left" w:pos="5490"/>
        </w:tabs>
        <w:ind w:firstLine="560"/>
        <w:rPr>
          <w:rFonts w:ascii="仿宋_GB2312" w:eastAsia="仿宋_GB2312"/>
          <w:sz w:val="28"/>
          <w:szCs w:val="28"/>
        </w:rPr>
      </w:pPr>
      <w:r>
        <w:rPr>
          <w:rFonts w:hint="eastAsia" w:ascii="仿宋_GB2312" w:hAnsi="宋体" w:eastAsia="仿宋_GB2312"/>
          <w:color w:val="000000"/>
          <w:sz w:val="28"/>
          <w:szCs w:val="28"/>
        </w:rPr>
        <w:t>日期：</w:t>
      </w:r>
      <w:r>
        <w:rPr>
          <w:rFonts w:hint="eastAsia" w:ascii="仿宋_GB2312" w:hAnsi="宋体" w:eastAsia="仿宋_GB2312"/>
          <w:color w:val="000000"/>
          <w:sz w:val="28"/>
          <w:szCs w:val="28"/>
        </w:rPr>
        <w:tab/>
      </w:r>
    </w:p>
    <w:p>
      <w:pPr>
        <w:rPr>
          <w:rFonts w:ascii="仿宋_GB2312" w:eastAsia="仿宋_GB2312"/>
          <w:sz w:val="28"/>
          <w:szCs w:val="28"/>
        </w:rPr>
      </w:pPr>
    </w:p>
    <w:p>
      <w:pPr>
        <w:pStyle w:val="4"/>
        <w:spacing w:line="240" w:lineRule="auto"/>
        <w:ind w:left="0" w:leftChars="0"/>
        <w:jc w:val="center"/>
        <w:rPr>
          <w:rFonts w:ascii="黑体" w:hAnsi="黑体" w:eastAsia="黑体"/>
          <w:b/>
          <w:sz w:val="32"/>
          <w:szCs w:val="32"/>
        </w:rPr>
      </w:pPr>
      <w:r>
        <w:rPr>
          <w:rFonts w:hint="eastAsia" w:ascii="仿宋_GB2312" w:eastAsia="仿宋_GB2312"/>
          <w:b/>
          <w:sz w:val="28"/>
          <w:szCs w:val="28"/>
        </w:rPr>
        <w:br w:type="page"/>
      </w:r>
      <w:r>
        <w:rPr>
          <w:rFonts w:hint="eastAsia" w:ascii="黑体" w:hAnsi="黑体" w:eastAsia="黑体"/>
          <w:b/>
          <w:sz w:val="32"/>
          <w:szCs w:val="32"/>
        </w:rPr>
        <w:t>投标人类似项目业绩一览表</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1701"/>
        <w:gridCol w:w="1559"/>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r>
              <w:rPr>
                <w:rFonts w:hint="eastAsia" w:ascii="仿宋_GB2312" w:eastAsia="仿宋_GB2312"/>
                <w:sz w:val="28"/>
                <w:szCs w:val="28"/>
              </w:rPr>
              <w:t>年份</w:t>
            </w:r>
          </w:p>
        </w:tc>
        <w:tc>
          <w:tcPr>
            <w:tcW w:w="1843" w:type="dxa"/>
            <w:vAlign w:val="center"/>
          </w:tcPr>
          <w:p>
            <w:pPr>
              <w:jc w:val="center"/>
              <w:rPr>
                <w:rFonts w:ascii="仿宋_GB2312" w:eastAsia="仿宋_GB2312"/>
                <w:sz w:val="28"/>
                <w:szCs w:val="28"/>
              </w:rPr>
            </w:pPr>
            <w:r>
              <w:rPr>
                <w:rFonts w:hint="eastAsia" w:ascii="仿宋_GB2312" w:eastAsia="仿宋_GB2312"/>
                <w:sz w:val="28"/>
                <w:szCs w:val="28"/>
              </w:rPr>
              <w:t>用户名称</w:t>
            </w:r>
          </w:p>
        </w:tc>
        <w:tc>
          <w:tcPr>
            <w:tcW w:w="1701" w:type="dxa"/>
            <w:vAlign w:val="center"/>
          </w:tcPr>
          <w:p>
            <w:pPr>
              <w:jc w:val="center"/>
              <w:rPr>
                <w:rFonts w:ascii="仿宋_GB2312" w:eastAsia="仿宋_GB2312"/>
                <w:sz w:val="28"/>
                <w:szCs w:val="28"/>
              </w:rPr>
            </w:pPr>
            <w:r>
              <w:rPr>
                <w:rFonts w:hint="eastAsia" w:ascii="仿宋_GB2312" w:eastAsia="仿宋_GB2312"/>
                <w:sz w:val="28"/>
                <w:szCs w:val="28"/>
              </w:rPr>
              <w:t>项目名称</w:t>
            </w:r>
          </w:p>
        </w:tc>
        <w:tc>
          <w:tcPr>
            <w:tcW w:w="1559" w:type="dxa"/>
            <w:vAlign w:val="center"/>
          </w:tcPr>
          <w:p>
            <w:pPr>
              <w:jc w:val="center"/>
              <w:rPr>
                <w:rFonts w:ascii="仿宋_GB2312" w:eastAsia="仿宋_GB2312"/>
                <w:sz w:val="28"/>
                <w:szCs w:val="28"/>
              </w:rPr>
            </w:pPr>
            <w:r>
              <w:rPr>
                <w:rFonts w:hint="eastAsia" w:ascii="仿宋_GB2312" w:eastAsia="仿宋_GB2312"/>
                <w:sz w:val="28"/>
                <w:szCs w:val="28"/>
              </w:rPr>
              <w:t>完成时间</w:t>
            </w:r>
          </w:p>
        </w:tc>
        <w:tc>
          <w:tcPr>
            <w:tcW w:w="1417" w:type="dxa"/>
            <w:vAlign w:val="center"/>
          </w:tcPr>
          <w:p>
            <w:pPr>
              <w:jc w:val="center"/>
              <w:rPr>
                <w:rFonts w:ascii="仿宋_GB2312" w:eastAsia="仿宋_GB2312"/>
                <w:sz w:val="28"/>
                <w:szCs w:val="28"/>
              </w:rPr>
            </w:pPr>
            <w:r>
              <w:rPr>
                <w:rFonts w:hint="eastAsia" w:ascii="仿宋_GB2312" w:eastAsia="仿宋_GB2312"/>
                <w:sz w:val="28"/>
                <w:szCs w:val="28"/>
              </w:rPr>
              <w:t>合同金额</w:t>
            </w:r>
          </w:p>
        </w:tc>
        <w:tc>
          <w:tcPr>
            <w:tcW w:w="1043" w:type="dxa"/>
            <w:vAlign w:val="center"/>
          </w:tcPr>
          <w:p>
            <w:pPr>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59" w:type="dxa"/>
            <w:vAlign w:val="center"/>
          </w:tcPr>
          <w:p>
            <w:pPr>
              <w:jc w:val="center"/>
              <w:rPr>
                <w:rFonts w:ascii="仿宋_GB2312" w:eastAsia="仿宋_GB2312"/>
                <w:sz w:val="28"/>
                <w:szCs w:val="28"/>
              </w:rPr>
            </w:pPr>
          </w:p>
        </w:tc>
        <w:tc>
          <w:tcPr>
            <w:tcW w:w="1843" w:type="dxa"/>
            <w:vAlign w:val="center"/>
          </w:tcPr>
          <w:p>
            <w:pPr>
              <w:jc w:val="center"/>
              <w:rPr>
                <w:rFonts w:ascii="仿宋_GB2312" w:eastAsia="仿宋_GB2312"/>
                <w:sz w:val="28"/>
                <w:szCs w:val="28"/>
              </w:rPr>
            </w:pPr>
          </w:p>
        </w:tc>
        <w:tc>
          <w:tcPr>
            <w:tcW w:w="1701" w:type="dxa"/>
            <w:vAlign w:val="center"/>
          </w:tcPr>
          <w:p>
            <w:pPr>
              <w:jc w:val="center"/>
              <w:rPr>
                <w:rFonts w:ascii="仿宋_GB2312" w:eastAsia="仿宋_GB2312"/>
                <w:sz w:val="28"/>
                <w:szCs w:val="28"/>
              </w:rPr>
            </w:pPr>
          </w:p>
        </w:tc>
        <w:tc>
          <w:tcPr>
            <w:tcW w:w="1559" w:type="dxa"/>
            <w:vAlign w:val="center"/>
          </w:tcPr>
          <w:p>
            <w:pPr>
              <w:jc w:val="center"/>
              <w:rPr>
                <w:rFonts w:ascii="仿宋_GB2312" w:eastAsia="仿宋_GB2312"/>
                <w:sz w:val="28"/>
                <w:szCs w:val="28"/>
              </w:rPr>
            </w:pPr>
          </w:p>
        </w:tc>
        <w:tc>
          <w:tcPr>
            <w:tcW w:w="1417" w:type="dxa"/>
            <w:vAlign w:val="center"/>
          </w:tcPr>
          <w:p>
            <w:pPr>
              <w:jc w:val="center"/>
              <w:rPr>
                <w:rFonts w:ascii="仿宋_GB2312" w:eastAsia="仿宋_GB2312"/>
                <w:sz w:val="28"/>
                <w:szCs w:val="28"/>
              </w:rPr>
            </w:pPr>
          </w:p>
        </w:tc>
        <w:tc>
          <w:tcPr>
            <w:tcW w:w="1043" w:type="dxa"/>
            <w:vAlign w:val="center"/>
          </w:tcPr>
          <w:p>
            <w:pPr>
              <w:jc w:val="center"/>
              <w:rPr>
                <w:rFonts w:ascii="仿宋_GB2312" w:eastAsia="仿宋_GB2312"/>
                <w:sz w:val="28"/>
                <w:szCs w:val="28"/>
              </w:rPr>
            </w:pPr>
          </w:p>
        </w:tc>
      </w:tr>
    </w:tbl>
    <w:p>
      <w:pPr>
        <w:ind w:firstLine="560" w:firstLineChars="200"/>
        <w:rPr>
          <w:rFonts w:ascii="仿宋_GB2312" w:eastAsia="仿宋_GB2312"/>
          <w:sz w:val="28"/>
          <w:szCs w:val="28"/>
        </w:rPr>
      </w:pPr>
      <w:r>
        <w:rPr>
          <w:rFonts w:hint="eastAsia" w:ascii="仿宋_GB2312" w:eastAsia="仿宋_GB2312"/>
          <w:sz w:val="28"/>
          <w:szCs w:val="28"/>
        </w:rPr>
        <w:t>注：投标人以上业绩需按招标文件要求提供合同等相关证明材料。</w:t>
      </w: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投标人名称（盖章）：</w:t>
      </w:r>
    </w:p>
    <w:p>
      <w:pPr>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pPr>
        <w:ind w:firstLine="560" w:firstLineChars="200"/>
        <w:rPr>
          <w:rFonts w:ascii="仿宋_GB2312" w:eastAsia="仿宋_GB2312"/>
          <w:sz w:val="28"/>
          <w:szCs w:val="28"/>
        </w:rPr>
      </w:pPr>
      <w:r>
        <w:rPr>
          <w:rFonts w:hint="eastAsia" w:ascii="仿宋_GB2312" w:eastAsia="仿宋_GB2312"/>
          <w:sz w:val="28"/>
          <w:szCs w:val="28"/>
        </w:rPr>
        <w:t>日期:      年  月  日</w:t>
      </w: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p>
    <w:p>
      <w:pPr>
        <w:jc w:val="center"/>
        <w:rPr>
          <w:rFonts w:ascii="黑体" w:hAnsi="黑体" w:eastAsia="黑体"/>
          <w:b/>
          <w:sz w:val="32"/>
          <w:szCs w:val="32"/>
        </w:rPr>
      </w:pPr>
      <w:r>
        <w:rPr>
          <w:rFonts w:hint="eastAsia" w:ascii="黑体" w:hAnsi="黑体" w:eastAsia="黑体"/>
          <w:b/>
          <w:sz w:val="32"/>
          <w:szCs w:val="32"/>
        </w:rPr>
        <w:t>投标人本项目管理、技术、服务人员情况表</w:t>
      </w:r>
    </w:p>
    <w:p>
      <w:pPr>
        <w:ind w:firstLine="560" w:firstLineChars="200"/>
        <w:rPr>
          <w:rFonts w:ascii="仿宋_GB2312" w:hAnsi="宋体" w:eastAsia="仿宋_GB2312" w:cs="Arial"/>
          <w:bCs/>
          <w:sz w:val="28"/>
          <w:szCs w:val="28"/>
          <w:u w:val="single"/>
        </w:rPr>
      </w:pPr>
      <w:r>
        <w:rPr>
          <w:rFonts w:hint="eastAsia" w:ascii="仿宋_GB2312" w:hAnsi="宋体" w:eastAsia="仿宋_GB2312" w:cs="Arial"/>
          <w:bCs/>
          <w:sz w:val="28"/>
          <w:szCs w:val="28"/>
        </w:rPr>
        <w:t>项目名称：</w:t>
      </w:r>
    </w:p>
    <w:tbl>
      <w:tblPr>
        <w:tblStyle w:val="8"/>
        <w:tblW w:w="8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89"/>
        <w:gridCol w:w="889"/>
        <w:gridCol w:w="719"/>
        <w:gridCol w:w="1059"/>
        <w:gridCol w:w="1186"/>
        <w:gridCol w:w="807"/>
        <w:gridCol w:w="932"/>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restart"/>
            <w:vAlign w:val="center"/>
          </w:tcPr>
          <w:p>
            <w:pPr>
              <w:jc w:val="center"/>
              <w:rPr>
                <w:rFonts w:cs="Arial" w:asciiTheme="minorEastAsia" w:hAnsiTheme="minorEastAsia"/>
                <w:sz w:val="24"/>
                <w:szCs w:val="24"/>
              </w:rPr>
            </w:pPr>
            <w:r>
              <w:rPr>
                <w:rFonts w:hint="eastAsia" w:cs="Arial" w:asciiTheme="minorEastAsia" w:hAnsiTheme="minorEastAsia"/>
                <w:sz w:val="24"/>
                <w:szCs w:val="24"/>
              </w:rPr>
              <w:t>类别</w:t>
            </w:r>
          </w:p>
        </w:tc>
        <w:tc>
          <w:tcPr>
            <w:tcW w:w="889" w:type="dxa"/>
            <w:vMerge w:val="restart"/>
            <w:vAlign w:val="center"/>
          </w:tcPr>
          <w:p>
            <w:pPr>
              <w:jc w:val="center"/>
              <w:rPr>
                <w:rFonts w:cs="Arial" w:asciiTheme="minorEastAsia" w:hAnsiTheme="minorEastAsia"/>
                <w:sz w:val="24"/>
                <w:szCs w:val="24"/>
              </w:rPr>
            </w:pPr>
            <w:r>
              <w:rPr>
                <w:rFonts w:hint="eastAsia" w:cs="Arial" w:asciiTheme="minorEastAsia" w:hAnsiTheme="minorEastAsia"/>
                <w:sz w:val="24"/>
                <w:szCs w:val="24"/>
              </w:rPr>
              <w:t>职务</w:t>
            </w:r>
          </w:p>
        </w:tc>
        <w:tc>
          <w:tcPr>
            <w:tcW w:w="889" w:type="dxa"/>
            <w:vMerge w:val="restart"/>
            <w:vAlign w:val="center"/>
          </w:tcPr>
          <w:p>
            <w:pPr>
              <w:jc w:val="center"/>
              <w:rPr>
                <w:rFonts w:cs="Arial" w:asciiTheme="minorEastAsia" w:hAnsiTheme="minorEastAsia"/>
                <w:sz w:val="24"/>
                <w:szCs w:val="24"/>
              </w:rPr>
            </w:pPr>
            <w:r>
              <w:rPr>
                <w:rFonts w:hint="eastAsia" w:cs="Arial" w:asciiTheme="minorEastAsia" w:hAnsiTheme="minorEastAsia"/>
                <w:sz w:val="24"/>
                <w:szCs w:val="24"/>
              </w:rPr>
              <w:t>姓名</w:t>
            </w:r>
          </w:p>
        </w:tc>
        <w:tc>
          <w:tcPr>
            <w:tcW w:w="719" w:type="dxa"/>
            <w:vMerge w:val="restart"/>
            <w:vAlign w:val="center"/>
          </w:tcPr>
          <w:p>
            <w:pPr>
              <w:jc w:val="center"/>
              <w:rPr>
                <w:rFonts w:cs="Arial" w:asciiTheme="minorEastAsia" w:hAnsiTheme="minorEastAsia"/>
                <w:sz w:val="24"/>
                <w:szCs w:val="24"/>
              </w:rPr>
            </w:pPr>
            <w:r>
              <w:rPr>
                <w:rFonts w:hint="eastAsia" w:cs="Arial" w:asciiTheme="minorEastAsia" w:hAnsiTheme="minorEastAsia"/>
                <w:sz w:val="24"/>
                <w:szCs w:val="24"/>
              </w:rPr>
              <w:t>职称</w:t>
            </w:r>
          </w:p>
        </w:tc>
        <w:tc>
          <w:tcPr>
            <w:tcW w:w="1059" w:type="dxa"/>
            <w:vMerge w:val="restart"/>
            <w:vAlign w:val="center"/>
          </w:tcPr>
          <w:p>
            <w:pPr>
              <w:jc w:val="center"/>
              <w:rPr>
                <w:rFonts w:cs="Arial" w:asciiTheme="minorEastAsia" w:hAnsiTheme="minorEastAsia"/>
                <w:sz w:val="24"/>
                <w:szCs w:val="24"/>
              </w:rPr>
            </w:pPr>
            <w:r>
              <w:rPr>
                <w:rFonts w:hint="eastAsia" w:cs="Arial" w:asciiTheme="minorEastAsia" w:hAnsiTheme="minorEastAsia"/>
                <w:sz w:val="24"/>
                <w:szCs w:val="24"/>
              </w:rPr>
              <w:t>常住地</w:t>
            </w:r>
          </w:p>
        </w:tc>
        <w:tc>
          <w:tcPr>
            <w:tcW w:w="3732" w:type="dxa"/>
            <w:gridSpan w:val="4"/>
            <w:vAlign w:val="center"/>
          </w:tcPr>
          <w:p>
            <w:pPr>
              <w:jc w:val="center"/>
              <w:rPr>
                <w:rFonts w:cs="Arial" w:asciiTheme="minorEastAsia" w:hAnsiTheme="minorEastAsia"/>
                <w:sz w:val="24"/>
                <w:szCs w:val="24"/>
              </w:rPr>
            </w:pPr>
            <w:r>
              <w:rPr>
                <w:rFonts w:hint="eastAsia" w:cs="Arial" w:asciiTheme="minorEastAsia" w:hAnsiTheme="minorEastAsia"/>
                <w:sz w:val="24"/>
                <w:szCs w:val="24"/>
              </w:rPr>
              <w:t>资格证明（附扫描件）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continue"/>
            <w:vAlign w:val="center"/>
          </w:tcPr>
          <w:p>
            <w:pPr>
              <w:jc w:val="center"/>
              <w:rPr>
                <w:rFonts w:cs="Arial" w:asciiTheme="minorEastAsia" w:hAnsiTheme="minorEastAsia"/>
                <w:sz w:val="24"/>
                <w:szCs w:val="24"/>
              </w:rPr>
            </w:pPr>
          </w:p>
        </w:tc>
        <w:tc>
          <w:tcPr>
            <w:tcW w:w="889" w:type="dxa"/>
            <w:vMerge w:val="continue"/>
            <w:vAlign w:val="center"/>
          </w:tcPr>
          <w:p>
            <w:pPr>
              <w:jc w:val="center"/>
              <w:rPr>
                <w:rFonts w:cs="Arial" w:asciiTheme="minorEastAsia" w:hAnsiTheme="minorEastAsia"/>
                <w:sz w:val="24"/>
                <w:szCs w:val="24"/>
              </w:rPr>
            </w:pPr>
          </w:p>
        </w:tc>
        <w:tc>
          <w:tcPr>
            <w:tcW w:w="889" w:type="dxa"/>
            <w:vMerge w:val="continue"/>
            <w:vAlign w:val="center"/>
          </w:tcPr>
          <w:p>
            <w:pPr>
              <w:jc w:val="center"/>
              <w:rPr>
                <w:rFonts w:cs="Arial" w:asciiTheme="minorEastAsia" w:hAnsiTheme="minorEastAsia"/>
                <w:sz w:val="24"/>
                <w:szCs w:val="24"/>
              </w:rPr>
            </w:pPr>
          </w:p>
        </w:tc>
        <w:tc>
          <w:tcPr>
            <w:tcW w:w="719" w:type="dxa"/>
            <w:vMerge w:val="continue"/>
            <w:vAlign w:val="center"/>
          </w:tcPr>
          <w:p>
            <w:pPr>
              <w:jc w:val="center"/>
              <w:rPr>
                <w:rFonts w:cs="Arial" w:asciiTheme="minorEastAsia" w:hAnsiTheme="minorEastAsia"/>
                <w:sz w:val="24"/>
                <w:szCs w:val="24"/>
              </w:rPr>
            </w:pPr>
          </w:p>
        </w:tc>
        <w:tc>
          <w:tcPr>
            <w:tcW w:w="1059" w:type="dxa"/>
            <w:vMerge w:val="continue"/>
            <w:vAlign w:val="center"/>
          </w:tcPr>
          <w:p>
            <w:pPr>
              <w:jc w:val="center"/>
              <w:rPr>
                <w:rFonts w:cs="Arial" w:asciiTheme="minorEastAsia" w:hAnsiTheme="minorEastAsia"/>
                <w:sz w:val="24"/>
                <w:szCs w:val="24"/>
              </w:rPr>
            </w:pPr>
          </w:p>
        </w:tc>
        <w:tc>
          <w:tcPr>
            <w:tcW w:w="1186" w:type="dxa"/>
            <w:vAlign w:val="center"/>
          </w:tcPr>
          <w:p>
            <w:pPr>
              <w:jc w:val="center"/>
              <w:rPr>
                <w:rFonts w:cs="Arial" w:asciiTheme="minorEastAsia" w:hAnsiTheme="minorEastAsia"/>
                <w:sz w:val="24"/>
                <w:szCs w:val="24"/>
              </w:rPr>
            </w:pPr>
            <w:r>
              <w:rPr>
                <w:rFonts w:hint="eastAsia" w:cs="Arial" w:asciiTheme="minorEastAsia" w:hAnsiTheme="minorEastAsia"/>
                <w:sz w:val="24"/>
                <w:szCs w:val="24"/>
              </w:rPr>
              <w:t>证书名称</w:t>
            </w:r>
          </w:p>
        </w:tc>
        <w:tc>
          <w:tcPr>
            <w:tcW w:w="807" w:type="dxa"/>
            <w:vAlign w:val="center"/>
          </w:tcPr>
          <w:p>
            <w:pPr>
              <w:jc w:val="center"/>
              <w:rPr>
                <w:rFonts w:cs="Arial" w:asciiTheme="minorEastAsia" w:hAnsiTheme="minorEastAsia"/>
                <w:sz w:val="24"/>
                <w:szCs w:val="24"/>
              </w:rPr>
            </w:pPr>
            <w:r>
              <w:rPr>
                <w:rFonts w:hint="eastAsia" w:cs="Arial" w:asciiTheme="minorEastAsia" w:hAnsiTheme="minorEastAsia"/>
                <w:sz w:val="24"/>
                <w:szCs w:val="24"/>
              </w:rPr>
              <w:t>级别</w:t>
            </w:r>
          </w:p>
        </w:tc>
        <w:tc>
          <w:tcPr>
            <w:tcW w:w="932" w:type="dxa"/>
            <w:vAlign w:val="center"/>
          </w:tcPr>
          <w:p>
            <w:pPr>
              <w:jc w:val="center"/>
              <w:rPr>
                <w:rFonts w:cs="Arial" w:asciiTheme="minorEastAsia" w:hAnsiTheme="minorEastAsia"/>
                <w:sz w:val="24"/>
                <w:szCs w:val="24"/>
              </w:rPr>
            </w:pPr>
            <w:r>
              <w:rPr>
                <w:rFonts w:hint="eastAsia" w:cs="Arial" w:asciiTheme="minorEastAsia" w:hAnsiTheme="minorEastAsia"/>
                <w:sz w:val="24"/>
                <w:szCs w:val="24"/>
              </w:rPr>
              <w:t>证号</w:t>
            </w:r>
          </w:p>
        </w:tc>
        <w:tc>
          <w:tcPr>
            <w:tcW w:w="807" w:type="dxa"/>
            <w:vAlign w:val="center"/>
          </w:tcPr>
          <w:p>
            <w:pPr>
              <w:jc w:val="center"/>
              <w:rPr>
                <w:rFonts w:cs="Arial" w:asciiTheme="minorEastAsia" w:hAnsiTheme="minorEastAsia"/>
                <w:sz w:val="24"/>
                <w:szCs w:val="24"/>
              </w:rPr>
            </w:pPr>
            <w:r>
              <w:rPr>
                <w:rFonts w:hint="eastAsia" w:cs="Arial" w:asciiTheme="minorEastAsia" w:hAnsiTheme="minorEastAsia"/>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50" w:type="dxa"/>
            <w:vMerge w:val="restart"/>
          </w:tcPr>
          <w:p>
            <w:pPr>
              <w:jc w:val="center"/>
              <w:rPr>
                <w:rFonts w:cs="Arial" w:asciiTheme="minorEastAsia" w:hAnsiTheme="minorEastAsia"/>
                <w:sz w:val="24"/>
                <w:szCs w:val="24"/>
              </w:rPr>
            </w:pPr>
            <w:r>
              <w:rPr>
                <w:rFonts w:hint="eastAsia" w:cs="Arial" w:asciiTheme="minorEastAsia" w:hAnsiTheme="minorEastAsia"/>
                <w:sz w:val="24"/>
                <w:szCs w:val="24"/>
              </w:rPr>
              <w:t>管</w:t>
            </w:r>
          </w:p>
          <w:p>
            <w:pPr>
              <w:jc w:val="center"/>
              <w:rPr>
                <w:rFonts w:cs="Arial" w:asciiTheme="minorEastAsia" w:hAnsiTheme="minorEastAsia"/>
                <w:sz w:val="24"/>
                <w:szCs w:val="24"/>
              </w:rPr>
            </w:pPr>
            <w:r>
              <w:rPr>
                <w:rFonts w:hint="eastAsia" w:cs="Arial" w:asciiTheme="minorEastAsia" w:hAnsiTheme="minorEastAsia"/>
                <w:sz w:val="24"/>
                <w:szCs w:val="24"/>
              </w:rPr>
              <w:t>理</w:t>
            </w:r>
          </w:p>
          <w:p>
            <w:pPr>
              <w:jc w:val="center"/>
              <w:rPr>
                <w:rFonts w:cs="Arial" w:asciiTheme="minorEastAsia" w:hAnsiTheme="minorEastAsia"/>
                <w:sz w:val="24"/>
                <w:szCs w:val="24"/>
              </w:rPr>
            </w:pPr>
            <w:r>
              <w:rPr>
                <w:rFonts w:hint="eastAsia" w:cs="Arial" w:asciiTheme="minorEastAsia" w:hAnsiTheme="minorEastAsia"/>
                <w:sz w:val="24"/>
                <w:szCs w:val="24"/>
              </w:rPr>
              <w:t>人</w:t>
            </w:r>
          </w:p>
          <w:p>
            <w:pPr>
              <w:jc w:val="center"/>
              <w:rPr>
                <w:rFonts w:cs="Arial" w:asciiTheme="minorEastAsia" w:hAnsiTheme="minorEastAsia"/>
                <w:sz w:val="24"/>
                <w:szCs w:val="24"/>
              </w:rPr>
            </w:pPr>
            <w:r>
              <w:rPr>
                <w:rFonts w:hint="eastAsia" w:cs="Arial" w:asciiTheme="minorEastAsia" w:hAnsiTheme="minorEastAsia"/>
                <w:sz w:val="24"/>
                <w:szCs w:val="24"/>
              </w:rPr>
              <w:t>员</w:t>
            </w: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restart"/>
          </w:tcPr>
          <w:p>
            <w:pPr>
              <w:jc w:val="center"/>
              <w:rPr>
                <w:rFonts w:cs="Arial" w:asciiTheme="minorEastAsia" w:hAnsiTheme="minorEastAsia"/>
                <w:sz w:val="24"/>
                <w:szCs w:val="24"/>
              </w:rPr>
            </w:pPr>
            <w:r>
              <w:rPr>
                <w:rFonts w:hint="eastAsia" w:cs="Arial" w:asciiTheme="minorEastAsia" w:hAnsiTheme="minorEastAsia"/>
                <w:sz w:val="24"/>
                <w:szCs w:val="24"/>
              </w:rPr>
              <w:t>技</w:t>
            </w:r>
          </w:p>
          <w:p>
            <w:pPr>
              <w:jc w:val="center"/>
              <w:rPr>
                <w:rFonts w:cs="Arial" w:asciiTheme="minorEastAsia" w:hAnsiTheme="minorEastAsia"/>
                <w:sz w:val="24"/>
                <w:szCs w:val="24"/>
              </w:rPr>
            </w:pPr>
            <w:r>
              <w:rPr>
                <w:rFonts w:hint="eastAsia" w:cs="Arial" w:asciiTheme="minorEastAsia" w:hAnsiTheme="minorEastAsia"/>
                <w:sz w:val="24"/>
                <w:szCs w:val="24"/>
              </w:rPr>
              <w:t>术</w:t>
            </w:r>
          </w:p>
          <w:p>
            <w:pPr>
              <w:jc w:val="center"/>
              <w:rPr>
                <w:rFonts w:cs="Arial" w:asciiTheme="minorEastAsia" w:hAnsiTheme="minorEastAsia"/>
                <w:sz w:val="24"/>
                <w:szCs w:val="24"/>
              </w:rPr>
            </w:pPr>
            <w:r>
              <w:rPr>
                <w:rFonts w:hint="eastAsia" w:cs="Arial" w:asciiTheme="minorEastAsia" w:hAnsiTheme="minorEastAsia"/>
                <w:sz w:val="24"/>
                <w:szCs w:val="24"/>
              </w:rPr>
              <w:t>人</w:t>
            </w:r>
          </w:p>
          <w:p>
            <w:pPr>
              <w:jc w:val="center"/>
              <w:rPr>
                <w:rFonts w:cs="Arial" w:asciiTheme="minorEastAsia" w:hAnsiTheme="minorEastAsia"/>
                <w:sz w:val="24"/>
                <w:szCs w:val="24"/>
              </w:rPr>
            </w:pPr>
            <w:r>
              <w:rPr>
                <w:rFonts w:hint="eastAsia" w:cs="Arial" w:asciiTheme="minorEastAsia" w:hAnsiTheme="minorEastAsia"/>
                <w:sz w:val="24"/>
                <w:szCs w:val="24"/>
              </w:rPr>
              <w:t>员</w:t>
            </w: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50" w:type="dxa"/>
            <w:vMerge w:val="restart"/>
          </w:tcPr>
          <w:p>
            <w:pPr>
              <w:jc w:val="center"/>
              <w:rPr>
                <w:rFonts w:cs="Arial" w:asciiTheme="minorEastAsia" w:hAnsiTheme="minorEastAsia"/>
                <w:sz w:val="24"/>
                <w:szCs w:val="24"/>
              </w:rPr>
            </w:pPr>
            <w:r>
              <w:rPr>
                <w:rFonts w:hint="eastAsia" w:cs="Arial" w:asciiTheme="minorEastAsia" w:hAnsiTheme="minorEastAsia"/>
                <w:sz w:val="24"/>
                <w:szCs w:val="24"/>
              </w:rPr>
              <w:t>售后</w:t>
            </w:r>
          </w:p>
          <w:p>
            <w:pPr>
              <w:jc w:val="center"/>
              <w:rPr>
                <w:rFonts w:cs="Arial" w:asciiTheme="minorEastAsia" w:hAnsiTheme="minorEastAsia"/>
                <w:sz w:val="24"/>
                <w:szCs w:val="24"/>
              </w:rPr>
            </w:pPr>
            <w:r>
              <w:rPr>
                <w:rFonts w:hint="eastAsia" w:cs="Arial" w:asciiTheme="minorEastAsia" w:hAnsiTheme="minorEastAsia"/>
                <w:sz w:val="24"/>
                <w:szCs w:val="24"/>
              </w:rPr>
              <w:t>服务</w:t>
            </w:r>
          </w:p>
          <w:p>
            <w:pPr>
              <w:jc w:val="center"/>
              <w:rPr>
                <w:rFonts w:cs="Arial" w:asciiTheme="minorEastAsia" w:hAnsiTheme="minorEastAsia"/>
                <w:sz w:val="24"/>
                <w:szCs w:val="24"/>
              </w:rPr>
            </w:pPr>
            <w:r>
              <w:rPr>
                <w:rFonts w:hint="eastAsia" w:cs="Arial" w:asciiTheme="minorEastAsia" w:hAnsiTheme="minorEastAsia"/>
                <w:sz w:val="24"/>
                <w:szCs w:val="24"/>
              </w:rPr>
              <w:t>人员</w:t>
            </w: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719" w:type="dxa"/>
          </w:tcPr>
          <w:p>
            <w:pPr>
              <w:jc w:val="center"/>
              <w:rPr>
                <w:rFonts w:cs="Arial" w:asciiTheme="minorEastAsia" w:hAnsiTheme="minorEastAsia"/>
                <w:sz w:val="24"/>
                <w:szCs w:val="24"/>
              </w:rPr>
            </w:pPr>
          </w:p>
        </w:tc>
        <w:tc>
          <w:tcPr>
            <w:tcW w:w="1059" w:type="dxa"/>
          </w:tcPr>
          <w:p>
            <w:pPr>
              <w:jc w:val="center"/>
              <w:rPr>
                <w:rFonts w:cs="Arial" w:asciiTheme="minorEastAsia" w:hAnsiTheme="minorEastAsia"/>
                <w:sz w:val="24"/>
                <w:szCs w:val="24"/>
              </w:rPr>
            </w:pPr>
          </w:p>
        </w:tc>
        <w:tc>
          <w:tcPr>
            <w:tcW w:w="1186"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c>
          <w:tcPr>
            <w:tcW w:w="932" w:type="dxa"/>
          </w:tcPr>
          <w:p>
            <w:pPr>
              <w:jc w:val="center"/>
              <w:rPr>
                <w:rFonts w:cs="Arial" w:asciiTheme="minorEastAsia" w:hAnsiTheme="minorEastAsia"/>
                <w:sz w:val="24"/>
                <w:szCs w:val="24"/>
              </w:rPr>
            </w:pPr>
          </w:p>
        </w:tc>
        <w:tc>
          <w:tcPr>
            <w:tcW w:w="807" w:type="dxa"/>
          </w:tcPr>
          <w:p>
            <w:pPr>
              <w:jc w:val="center"/>
              <w:rPr>
                <w:rFonts w:cs="Arial"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b/>
                <w:bCs/>
                <w:sz w:val="24"/>
                <w:szCs w:val="24"/>
              </w:rPr>
            </w:pPr>
          </w:p>
        </w:tc>
        <w:tc>
          <w:tcPr>
            <w:tcW w:w="719" w:type="dxa"/>
          </w:tcPr>
          <w:p>
            <w:pPr>
              <w:jc w:val="center"/>
              <w:rPr>
                <w:rFonts w:cs="Arial" w:asciiTheme="minorEastAsia" w:hAnsiTheme="minorEastAsia"/>
                <w:b/>
                <w:bCs/>
                <w:sz w:val="24"/>
                <w:szCs w:val="24"/>
              </w:rPr>
            </w:pPr>
          </w:p>
        </w:tc>
        <w:tc>
          <w:tcPr>
            <w:tcW w:w="1059" w:type="dxa"/>
          </w:tcPr>
          <w:p>
            <w:pPr>
              <w:jc w:val="center"/>
              <w:rPr>
                <w:rFonts w:cs="Arial" w:asciiTheme="minorEastAsia" w:hAnsiTheme="minorEastAsia"/>
                <w:b/>
                <w:bCs/>
                <w:sz w:val="24"/>
                <w:szCs w:val="24"/>
              </w:rPr>
            </w:pPr>
          </w:p>
        </w:tc>
        <w:tc>
          <w:tcPr>
            <w:tcW w:w="1186" w:type="dxa"/>
          </w:tcPr>
          <w:p>
            <w:pPr>
              <w:jc w:val="center"/>
              <w:rPr>
                <w:rFonts w:cs="Arial" w:asciiTheme="minorEastAsia" w:hAnsiTheme="minorEastAsia"/>
                <w:b/>
                <w:bCs/>
                <w:sz w:val="24"/>
                <w:szCs w:val="24"/>
              </w:rPr>
            </w:pPr>
          </w:p>
        </w:tc>
        <w:tc>
          <w:tcPr>
            <w:tcW w:w="807" w:type="dxa"/>
          </w:tcPr>
          <w:p>
            <w:pPr>
              <w:jc w:val="center"/>
              <w:rPr>
                <w:rFonts w:cs="Arial" w:asciiTheme="minorEastAsia" w:hAnsiTheme="minorEastAsia"/>
                <w:b/>
                <w:bCs/>
                <w:sz w:val="24"/>
                <w:szCs w:val="24"/>
              </w:rPr>
            </w:pPr>
          </w:p>
        </w:tc>
        <w:tc>
          <w:tcPr>
            <w:tcW w:w="932" w:type="dxa"/>
          </w:tcPr>
          <w:p>
            <w:pPr>
              <w:jc w:val="center"/>
              <w:rPr>
                <w:rFonts w:cs="Arial" w:asciiTheme="minorEastAsia" w:hAnsiTheme="minorEastAsia"/>
                <w:b/>
                <w:bCs/>
                <w:sz w:val="24"/>
                <w:szCs w:val="24"/>
              </w:rPr>
            </w:pPr>
          </w:p>
        </w:tc>
        <w:tc>
          <w:tcPr>
            <w:tcW w:w="807" w:type="dxa"/>
          </w:tcPr>
          <w:p>
            <w:pPr>
              <w:jc w:val="center"/>
              <w:rPr>
                <w:rFonts w:cs="Arial" w:asciiTheme="minorEastAsia" w:hAnsi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050" w:type="dxa"/>
            <w:vMerge w:val="continue"/>
          </w:tcPr>
          <w:p>
            <w:pPr>
              <w:jc w:val="center"/>
              <w:rPr>
                <w:rFonts w:cs="Arial" w:asciiTheme="minorEastAsia" w:hAnsiTheme="minorEastAsia"/>
                <w:sz w:val="24"/>
                <w:szCs w:val="24"/>
              </w:rPr>
            </w:pPr>
          </w:p>
        </w:tc>
        <w:tc>
          <w:tcPr>
            <w:tcW w:w="889" w:type="dxa"/>
          </w:tcPr>
          <w:p>
            <w:pPr>
              <w:jc w:val="center"/>
              <w:rPr>
                <w:rFonts w:cs="Arial" w:asciiTheme="minorEastAsia" w:hAnsiTheme="minorEastAsia"/>
                <w:sz w:val="24"/>
                <w:szCs w:val="24"/>
              </w:rPr>
            </w:pPr>
          </w:p>
        </w:tc>
        <w:tc>
          <w:tcPr>
            <w:tcW w:w="889" w:type="dxa"/>
          </w:tcPr>
          <w:p>
            <w:pPr>
              <w:jc w:val="center"/>
              <w:rPr>
                <w:rFonts w:cs="Arial" w:asciiTheme="minorEastAsia" w:hAnsiTheme="minorEastAsia"/>
                <w:b/>
                <w:bCs/>
                <w:sz w:val="24"/>
                <w:szCs w:val="24"/>
              </w:rPr>
            </w:pPr>
          </w:p>
        </w:tc>
        <w:tc>
          <w:tcPr>
            <w:tcW w:w="719" w:type="dxa"/>
          </w:tcPr>
          <w:p>
            <w:pPr>
              <w:jc w:val="center"/>
              <w:rPr>
                <w:rFonts w:cs="Arial" w:asciiTheme="minorEastAsia" w:hAnsiTheme="minorEastAsia"/>
                <w:b/>
                <w:bCs/>
                <w:sz w:val="24"/>
                <w:szCs w:val="24"/>
              </w:rPr>
            </w:pPr>
          </w:p>
        </w:tc>
        <w:tc>
          <w:tcPr>
            <w:tcW w:w="1059" w:type="dxa"/>
          </w:tcPr>
          <w:p>
            <w:pPr>
              <w:jc w:val="center"/>
              <w:rPr>
                <w:rFonts w:cs="Arial" w:asciiTheme="minorEastAsia" w:hAnsiTheme="minorEastAsia"/>
                <w:b/>
                <w:bCs/>
                <w:sz w:val="24"/>
                <w:szCs w:val="24"/>
              </w:rPr>
            </w:pPr>
          </w:p>
        </w:tc>
        <w:tc>
          <w:tcPr>
            <w:tcW w:w="1186" w:type="dxa"/>
          </w:tcPr>
          <w:p>
            <w:pPr>
              <w:jc w:val="center"/>
              <w:rPr>
                <w:rFonts w:cs="Arial" w:asciiTheme="minorEastAsia" w:hAnsiTheme="minorEastAsia"/>
                <w:b/>
                <w:bCs/>
                <w:sz w:val="24"/>
                <w:szCs w:val="24"/>
              </w:rPr>
            </w:pPr>
          </w:p>
        </w:tc>
        <w:tc>
          <w:tcPr>
            <w:tcW w:w="807" w:type="dxa"/>
          </w:tcPr>
          <w:p>
            <w:pPr>
              <w:jc w:val="center"/>
              <w:rPr>
                <w:rFonts w:cs="Arial" w:asciiTheme="minorEastAsia" w:hAnsiTheme="minorEastAsia"/>
                <w:b/>
                <w:bCs/>
                <w:sz w:val="24"/>
                <w:szCs w:val="24"/>
              </w:rPr>
            </w:pPr>
          </w:p>
        </w:tc>
        <w:tc>
          <w:tcPr>
            <w:tcW w:w="932" w:type="dxa"/>
          </w:tcPr>
          <w:p>
            <w:pPr>
              <w:jc w:val="center"/>
              <w:rPr>
                <w:rFonts w:cs="Arial" w:asciiTheme="minorEastAsia" w:hAnsiTheme="minorEastAsia"/>
                <w:b/>
                <w:bCs/>
                <w:sz w:val="24"/>
                <w:szCs w:val="24"/>
              </w:rPr>
            </w:pPr>
          </w:p>
        </w:tc>
        <w:tc>
          <w:tcPr>
            <w:tcW w:w="807" w:type="dxa"/>
          </w:tcPr>
          <w:p>
            <w:pPr>
              <w:jc w:val="center"/>
              <w:rPr>
                <w:rFonts w:cs="Arial" w:asciiTheme="minorEastAsia" w:hAnsiTheme="minorEastAsia"/>
                <w:b/>
                <w:bCs/>
                <w:sz w:val="24"/>
                <w:szCs w:val="24"/>
              </w:rPr>
            </w:pPr>
          </w:p>
        </w:tc>
      </w:tr>
    </w:tbl>
    <w:p>
      <w:pPr>
        <w:ind w:firstLine="840" w:firstLineChars="300"/>
        <w:rPr>
          <w:rFonts w:ascii="仿宋_GB2312" w:eastAsia="仿宋_GB2312"/>
          <w:sz w:val="28"/>
          <w:szCs w:val="28"/>
        </w:rPr>
      </w:pPr>
      <w:r>
        <w:rPr>
          <w:rFonts w:hint="eastAsia" w:ascii="仿宋_GB2312" w:eastAsia="仿宋_GB2312"/>
          <w:sz w:val="28"/>
          <w:szCs w:val="28"/>
        </w:rPr>
        <w:t>投标人名称（盖章）：</w:t>
      </w:r>
    </w:p>
    <w:p>
      <w:pPr>
        <w:ind w:firstLine="840" w:firstLineChars="300"/>
        <w:rPr>
          <w:rFonts w:ascii="仿宋_GB2312" w:eastAsia="仿宋_GB2312"/>
          <w:sz w:val="28"/>
          <w:szCs w:val="28"/>
        </w:rPr>
      </w:pPr>
      <w:r>
        <w:rPr>
          <w:rFonts w:hint="eastAsia" w:ascii="仿宋_GB2312" w:eastAsia="仿宋_GB2312"/>
          <w:sz w:val="28"/>
          <w:szCs w:val="28"/>
        </w:rPr>
        <w:t>法定代表人或授权代表（签字或盖章）：</w:t>
      </w:r>
    </w:p>
    <w:p>
      <w:pPr>
        <w:ind w:firstLine="4200" w:firstLineChars="1500"/>
        <w:rPr>
          <w:rFonts w:ascii="仿宋_GB2312" w:eastAsia="仿宋_GB2312"/>
          <w:sz w:val="28"/>
          <w:szCs w:val="28"/>
        </w:rPr>
      </w:pPr>
      <w:r>
        <w:rPr>
          <w:rFonts w:hint="eastAsia" w:ascii="仿宋_GB2312" w:eastAsia="仿宋_GB2312"/>
          <w:sz w:val="28"/>
          <w:szCs w:val="28"/>
        </w:rPr>
        <w:t>日期: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4"/>
        <w:spacing w:line="240" w:lineRule="auto"/>
        <w:ind w:left="0" w:leftChars="0"/>
        <w:jc w:val="center"/>
        <w:rPr>
          <w:rFonts w:ascii="黑体" w:hAnsi="黑体" w:eastAsia="黑体"/>
          <w:b/>
          <w:sz w:val="32"/>
          <w:szCs w:val="32"/>
        </w:rPr>
      </w:pPr>
      <w:r>
        <w:rPr>
          <w:rFonts w:hint="eastAsia" w:ascii="仿宋_GB2312" w:eastAsia="仿宋_GB2312"/>
          <w:b/>
          <w:sz w:val="28"/>
          <w:szCs w:val="28"/>
        </w:rPr>
        <w:br w:type="page"/>
      </w:r>
      <w:r>
        <w:rPr>
          <w:rFonts w:hint="eastAsia" w:ascii="黑体" w:hAnsi="黑体" w:eastAsia="黑体"/>
          <w:b/>
          <w:sz w:val="32"/>
          <w:szCs w:val="32"/>
        </w:rPr>
        <w:t>投标人还需提供的其他材料</w:t>
      </w:r>
    </w:p>
    <w:p>
      <w:pPr>
        <w:ind w:right="420"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1.营业执照副本复印件（加盖鲜章）</w:t>
      </w:r>
    </w:p>
    <w:p>
      <w:pPr>
        <w:ind w:right="420"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2.税务登记证副本复印件（加盖鲜章）</w:t>
      </w:r>
    </w:p>
    <w:p>
      <w:pPr>
        <w:ind w:right="420"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3.组织机构代码副本证复印件（加盖鲜章）</w:t>
      </w:r>
    </w:p>
    <w:p>
      <w:pPr>
        <w:ind w:right="420"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4.投标保证金交纳凭证复印件（加盖鲜章）</w:t>
      </w:r>
    </w:p>
    <w:p>
      <w:pPr>
        <w:ind w:right="420" w:firstLine="560" w:firstLineChars="200"/>
        <w:jc w:val="left"/>
        <w:rPr>
          <w:rFonts w:ascii="仿宋_GB2312" w:eastAsia="仿宋_GB2312"/>
          <w:sz w:val="28"/>
          <w:szCs w:val="28"/>
        </w:rPr>
      </w:pPr>
      <w:r>
        <w:rPr>
          <w:rFonts w:hint="eastAsia" w:ascii="仿宋_GB2312" w:eastAsia="仿宋_GB2312" w:hAnsiTheme="minorEastAsia"/>
          <w:sz w:val="28"/>
          <w:szCs w:val="28"/>
        </w:rPr>
        <w:t>5.供应商资格条件要求的其他资质证书复印件等(加盖鲜章)</w:t>
      </w:r>
    </w:p>
    <w:p>
      <w:pPr>
        <w:ind w:right="420" w:firstLine="560" w:firstLineChars="200"/>
        <w:jc w:val="left"/>
        <w:rPr>
          <w:rFonts w:ascii="仿宋_GB2312" w:eastAsia="仿宋_GB2312"/>
          <w:sz w:val="28"/>
          <w:szCs w:val="28"/>
        </w:rPr>
      </w:pPr>
      <w:r>
        <w:rPr>
          <w:rFonts w:hint="eastAsia" w:ascii="仿宋_GB2312" w:eastAsia="仿宋_GB2312"/>
          <w:sz w:val="28"/>
          <w:szCs w:val="28"/>
        </w:rPr>
        <w:t>6.为本项目供完善的《2016年届毕业生就业质量报告》研究项目建议书。</w:t>
      </w:r>
    </w:p>
    <w:p>
      <w:pPr>
        <w:ind w:right="420"/>
        <w:jc w:val="left"/>
        <w:rPr>
          <w:rFonts w:ascii="仿宋_GB2312" w:eastAsia="仿宋_GB2312"/>
          <w:sz w:val="28"/>
          <w:szCs w:val="28"/>
        </w:rPr>
      </w:pPr>
    </w:p>
    <w:p>
      <w:pPr>
        <w:widowControl/>
        <w:jc w:val="left"/>
        <w:rPr>
          <w:rFonts w:ascii="仿宋_GB2312" w:eastAsia="仿宋_GB2312"/>
          <w:b/>
          <w:sz w:val="28"/>
          <w:szCs w:val="28"/>
        </w:rPr>
      </w:pPr>
    </w:p>
    <w:p>
      <w:pPr>
        <w:widowControl/>
        <w:jc w:val="left"/>
        <w:rPr>
          <w:rFonts w:ascii="仿宋_GB2312" w:eastAsia="仿宋_GB2312"/>
          <w:b/>
          <w:sz w:val="28"/>
          <w:szCs w:val="28"/>
        </w:rPr>
      </w:pPr>
      <w:r>
        <w:rPr>
          <w:rFonts w:hint="eastAsia" w:ascii="仿宋_GB2312" w:eastAsia="仿宋_GB2312"/>
          <w:b/>
          <w:sz w:val="28"/>
          <w:szCs w:val="28"/>
        </w:rPr>
        <w:br w:type="page"/>
      </w:r>
    </w:p>
    <w:p>
      <w:pPr>
        <w:rPr>
          <w:rFonts w:ascii="黑体" w:hAnsi="黑体" w:eastAsia="黑体"/>
          <w:b/>
          <w:sz w:val="32"/>
          <w:szCs w:val="32"/>
        </w:rPr>
      </w:pPr>
      <w:r>
        <w:rPr>
          <w:rFonts w:hint="eastAsia" w:ascii="黑体" w:hAnsi="黑体" w:eastAsia="黑体"/>
          <w:b/>
          <w:sz w:val="32"/>
          <w:szCs w:val="32"/>
        </w:rPr>
        <w:t>八、招标项目技术、商务及其他要求</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   </w:t>
      </w:r>
    </w:p>
    <w:p>
      <w:pPr>
        <w:widowControl/>
        <w:spacing w:line="480" w:lineRule="exact"/>
        <w:ind w:firstLine="472"/>
        <w:jc w:val="left"/>
        <w:rPr>
          <w:rFonts w:cs="宋体" w:asciiTheme="minorEastAsia" w:hAnsiTheme="minorEastAsia"/>
          <w:kern w:val="0"/>
          <w:sz w:val="24"/>
          <w:szCs w:val="24"/>
        </w:rPr>
      </w:pPr>
      <w:r>
        <w:rPr>
          <w:rFonts w:cs="宋体" w:asciiTheme="minorEastAsia" w:hAnsiTheme="minorEastAsia"/>
          <w:b/>
          <w:bCs/>
          <w:kern w:val="0"/>
          <w:sz w:val="24"/>
          <w:szCs w:val="24"/>
        </w:rPr>
        <w:t>第一  主要技术要求</w:t>
      </w:r>
      <w:r>
        <w:rPr>
          <w:rFonts w:cs="宋体" w:asciiTheme="minorEastAsia" w:hAnsiTheme="minorEastAsia"/>
          <w:kern w:val="0"/>
          <w:sz w:val="24"/>
          <w:szCs w:val="24"/>
        </w:rPr>
        <w:t xml:space="preserve">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一、项目要求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（一）《报告》内容应完全符合《教育部办公厅关于编制发布高校毕业生就业质量年度报告的通知》要求，表述清晰、简练，排版规范、美观。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（二）《报告》主要内容要客观反映我校2016届毕业生（细分到各专业）就业的基本情况、主要特点、发展趋势以及对教育教学的反馈等。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1．基本情况：主要包括毕业生规模、结构、就业率、就业流向、就业质量、行业分布等。主要特点包括促进毕业生就业的政策措施、指导服务等。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2．相关分析：主要针对毕业生就业状况的数据分析、结论总结等。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3．发展趋势：主要对我校毕业生就业的趋势进行研判。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4．对教育教学的反馈：主要是通过就业状况数据为今后招生、专业设置、人才培养方案（模式）等方面的调整优化提供重要参考。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（三）《报告》中所涉及的统计数据应同时用数据表格和统计图两种形式展现，并配以适当的文字描述。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（四）调查要求：调查抽样要涵盖学校2016届本科和专科各专业毕业学生及就业相关行业用人单位。访谈的用人单位要涵盖学校每个学院，且总数不少于50家，并涵盖四川、重庆等主要地区和相关行业。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二、数据来源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（一）基础数据。包括2016年8月底上报教育厅的毕业生就业数据和2016届毕业生最新联系信息。该数据由学校招生就业处统一提供。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（二）调查数据。中标单位根据《教育部办公厅关于编制发布高校毕业生就业质量年度报告的通知》要求和《报告》编制的具体要求采集获得。 </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  </w:t>
      </w:r>
      <w:r>
        <w:rPr>
          <w:rFonts w:cs="宋体" w:asciiTheme="minorEastAsia" w:hAnsiTheme="minorEastAsia"/>
          <w:b/>
          <w:bCs/>
          <w:kern w:val="0"/>
          <w:sz w:val="24"/>
          <w:szCs w:val="24"/>
        </w:rPr>
        <w:t>第二  2016届毕业生就业质量年度报告提纲要求</w:t>
      </w:r>
      <w:r>
        <w:rPr>
          <w:rFonts w:cs="宋体" w:asciiTheme="minorEastAsia" w:hAnsiTheme="minorEastAsia"/>
          <w:kern w:val="0"/>
          <w:sz w:val="24"/>
          <w:szCs w:val="24"/>
        </w:rPr>
        <w:t xml:space="preserve">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第一部分  概述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一、学校简介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二、就业情况概述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三、总结与建议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第二部分  2016届毕业生就业质量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一、就业率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（一）总体及各学院就业率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（二）各层次毕业生就业率（本科生、专科生</w:t>
      </w:r>
      <w:r>
        <w:rPr>
          <w:rFonts w:hint="eastAsia" w:cs="宋体" w:asciiTheme="minorEastAsia" w:hAnsiTheme="minorEastAsia"/>
          <w:kern w:val="0"/>
          <w:sz w:val="24"/>
          <w:szCs w:val="24"/>
        </w:rPr>
        <w:t>二</w:t>
      </w:r>
      <w:r>
        <w:rPr>
          <w:rFonts w:cs="宋体" w:asciiTheme="minorEastAsia" w:hAnsiTheme="minorEastAsia"/>
          <w:kern w:val="0"/>
          <w:sz w:val="24"/>
          <w:szCs w:val="24"/>
        </w:rPr>
        <w:t xml:space="preserve">个层次）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（三）各专业就业率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二、毕业去向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（一）总体及各学院毕业去向分布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（二）各层次毕业生就业去向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（三）各专业毕业生就业去向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三、就业分布（按硕士研究生、本科生、专科三个层次分别描述）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（一）就业地域分布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（二）就业行业分布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（三）就业职业分布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（四）就业单位分布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四、就业质量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（一）薪酬水平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 毕业生总体及各学历层次毕业生的薪酬情况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 各学院各专业毕业生的薪酬情况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 不同就业地域的薪酬对比（列主要就业地区的薪酬）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4. 不同就业行业的薪酬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（二）就业满意度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1．毕业生总体就业满意度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2．各层次毕业生的就业满意度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3．各学院各专业毕业生的就业满意度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（三）专业对口率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1．毕业生总体专业对口率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2．各层次毕业生的专业对口率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3．各学院各专业毕业生的专业对口率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4．毕业生从事低专业对口工作的原因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（四）工作适应能力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1．毕业生总体工作适应情况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2．各层次毕业生的工作适应度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3．各学院各专业毕业生的工作适应度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（五）用人单位评价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1．用人单位对毕业生的满意度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2．用人单位对毕业生综合素质的评价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3．用人单位对学校的评价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（五）工作流动性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1．毕业生总体工作流动情况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 各学院毕业生的工作流动情况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五、对工作能力/职业素养的反馈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（一）工作能力的重要性及满足度分析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（二）职业品质的重要性及满足度分析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六、自主创业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（一）毕业生自主创业总体情况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（二）对创新创业教育活动的参与度与满意度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（三）创业意向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第三部分  培养过程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一、对专业课的评价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（一）专业课对实际工作的贡献度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（二）最有帮助的核心课程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（三）最需改进的核心课程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二、学业成绩分析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（一）成绩对薪酬水平的影响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（二）成绩对就业满意度的影响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三、对任课教师的评价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（一）毕业生对任课教师教学质量的总体满意度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（二）毕业生对任课教师教学各方面的满意度（包括教学态度、教学内容、教学方式方法等）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（三）毕业生感到最满意的教师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四、对实践教学的评价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（一）毕业生对实践环节效果的满意度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（二）最满意的实践性教学环节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（三）最需加强的实践性教学环节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五、对社团及生活服务的评价 </w:t>
      </w:r>
    </w:p>
    <w:p>
      <w:pPr>
        <w:widowControl/>
        <w:spacing w:line="480" w:lineRule="exact"/>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一</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社团参与情况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(二)毕业生对社团的满意度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(三)毕业生对院系辅导员的满意度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六、对母校就业指导服务的评价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（一）对母校就业指导服务的参与度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（二）对母校就业指导服务的满意度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七、毕业生评价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（一）毕业生对母校的满意度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（二）毕业生对母校的推荐度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（三）影响毕业生对母校推荐意愿的因素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九、用人单位对毕业生的需求分析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（一）专业需求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（二）岗位需求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（三）地区需求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（四）能力需求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第四部分 技术报告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（一）调查样本说明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1．各学院各专业调查样本回收情况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2．各专业主要指标的样本表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（二）基本研究框架和指标体系 </w:t>
      </w:r>
    </w:p>
    <w:p>
      <w:pPr>
        <w:widowControl/>
        <w:spacing w:line="480" w:lineRule="exact"/>
        <w:jc w:val="left"/>
        <w:rPr>
          <w:rFonts w:cs="宋体" w:asciiTheme="minorEastAsia" w:hAnsiTheme="minorEastAsia"/>
          <w:b/>
          <w:kern w:val="0"/>
          <w:sz w:val="24"/>
          <w:szCs w:val="24"/>
        </w:rPr>
      </w:pPr>
      <w:r>
        <w:rPr>
          <w:rFonts w:cs="宋体" w:asciiTheme="minorEastAsia" w:hAnsiTheme="minorEastAsia"/>
          <w:b/>
          <w:kern w:val="0"/>
          <w:sz w:val="24"/>
          <w:szCs w:val="24"/>
        </w:rPr>
        <w:t>  注</w:t>
      </w:r>
      <w:r>
        <w:rPr>
          <w:rFonts w:hint="eastAsia" w:cs="宋体" w:asciiTheme="minorEastAsia" w:hAnsiTheme="minorEastAsia"/>
          <w:b/>
          <w:kern w:val="0"/>
          <w:sz w:val="24"/>
          <w:szCs w:val="24"/>
        </w:rPr>
        <w:t>：</w:t>
      </w:r>
      <w:r>
        <w:rPr>
          <w:rFonts w:cs="宋体" w:asciiTheme="minorEastAsia" w:hAnsiTheme="minorEastAsia"/>
          <w:b/>
          <w:kern w:val="0"/>
          <w:sz w:val="24"/>
          <w:szCs w:val="24"/>
        </w:rPr>
        <w:t>各部分内容应该以章节形式展示</w:t>
      </w:r>
      <w:r>
        <w:rPr>
          <w:rFonts w:hint="eastAsia" w:cs="宋体" w:asciiTheme="minorEastAsia" w:hAnsiTheme="minorEastAsia"/>
          <w:b/>
          <w:kern w:val="0"/>
          <w:sz w:val="24"/>
          <w:szCs w:val="24"/>
        </w:rPr>
        <w:t>。</w:t>
      </w:r>
    </w:p>
    <w:p>
      <w:pPr>
        <w:widowControl/>
        <w:spacing w:line="480" w:lineRule="exact"/>
        <w:ind w:firstLine="482"/>
        <w:jc w:val="left"/>
        <w:rPr>
          <w:rFonts w:cs="宋体" w:asciiTheme="minorEastAsia" w:hAnsiTheme="minorEastAsia"/>
          <w:kern w:val="0"/>
          <w:sz w:val="24"/>
          <w:szCs w:val="24"/>
        </w:rPr>
      </w:pPr>
      <w:r>
        <w:rPr>
          <w:rFonts w:cs="宋体" w:asciiTheme="minorEastAsia" w:hAnsiTheme="minorEastAsia"/>
          <w:b/>
          <w:bCs/>
          <w:kern w:val="0"/>
          <w:sz w:val="24"/>
          <w:szCs w:val="24"/>
        </w:rPr>
        <w:t>第三  2016届毕业生就业质量年度报告印制要求</w:t>
      </w:r>
      <w:r>
        <w:rPr>
          <w:rFonts w:cs="宋体" w:asciiTheme="minorEastAsia" w:hAnsiTheme="minorEastAsia"/>
          <w:kern w:val="0"/>
          <w:sz w:val="24"/>
          <w:szCs w:val="24"/>
        </w:rPr>
        <w:t xml:space="preserve">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一、印制数量 </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    </w:t>
      </w:r>
      <w:r>
        <w:rPr>
          <w:rFonts w:hint="eastAsia" w:cs="宋体" w:asciiTheme="minorEastAsia" w:hAnsiTheme="minorEastAsia"/>
          <w:kern w:val="0"/>
          <w:sz w:val="24"/>
          <w:szCs w:val="24"/>
        </w:rPr>
        <w:t>4</w:t>
      </w:r>
      <w:r>
        <w:rPr>
          <w:rFonts w:cs="宋体" w:asciiTheme="minorEastAsia" w:hAnsiTheme="minorEastAsia"/>
          <w:kern w:val="0"/>
          <w:sz w:val="24"/>
          <w:szCs w:val="24"/>
        </w:rPr>
        <w:t xml:space="preserve">0册。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二、规格与工艺要求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成品尺寸：210mm*290mm。 </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    印刷要求：双面全彩色五色印刷。 </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用纸要求：封面用280g艺术亮彩特种纸，内页用</w:t>
      </w:r>
      <w:r>
        <w:rPr>
          <w:rFonts w:hint="eastAsia" w:cs="宋体" w:asciiTheme="minorEastAsia" w:hAnsiTheme="minorEastAsia"/>
          <w:kern w:val="0"/>
          <w:sz w:val="24"/>
          <w:szCs w:val="24"/>
        </w:rPr>
        <w:t>80</w:t>
      </w:r>
      <w:r>
        <w:rPr>
          <w:rFonts w:cs="宋体" w:asciiTheme="minorEastAsia" w:hAnsiTheme="minorEastAsia"/>
          <w:kern w:val="0"/>
          <w:sz w:val="24"/>
          <w:szCs w:val="24"/>
        </w:rPr>
        <w:t>g</w:t>
      </w:r>
      <w:r>
        <w:rPr>
          <w:rFonts w:hint="eastAsia" w:cs="宋体" w:asciiTheme="minorEastAsia" w:hAnsiTheme="minorEastAsia"/>
          <w:kern w:val="0"/>
          <w:sz w:val="24"/>
          <w:szCs w:val="24"/>
        </w:rPr>
        <w:t>高白双胶纸</w:t>
      </w:r>
      <w:r>
        <w:rPr>
          <w:rFonts w:cs="宋体" w:asciiTheme="minorEastAsia" w:hAnsiTheme="minorEastAsia"/>
          <w:kern w:val="0"/>
          <w:sz w:val="24"/>
          <w:szCs w:val="24"/>
        </w:rPr>
        <w:t xml:space="preserve">。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工艺要求：锁线胶装，封面封底过光油、烫金、击凸、过UV等特殊工艺，封面封底覆雅膜、烫银、压纹、凹凸等特殊工艺。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三、印刷质量要求 </w:t>
      </w:r>
    </w:p>
    <w:p>
      <w:pPr>
        <w:widowControl/>
        <w:spacing w:line="480" w:lineRule="exact"/>
        <w:ind w:firstLine="600"/>
        <w:jc w:val="left"/>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 xml:space="preserve">色彩套印无任何偏差、清晰、自然，彩色图片符合自然色调，不闷暗、低沉，不偏色。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（二）文字清晰，无重影、糊字、坏字及错别字，套印准确。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  </w:t>
      </w:r>
    </w:p>
    <w:p>
      <w:pPr>
        <w:widowControl/>
        <w:spacing w:line="480" w:lineRule="exact"/>
        <w:ind w:firstLine="482"/>
        <w:jc w:val="left"/>
        <w:rPr>
          <w:rFonts w:cs="宋体" w:asciiTheme="minorEastAsia" w:hAnsiTheme="minorEastAsia"/>
          <w:kern w:val="0"/>
          <w:sz w:val="24"/>
          <w:szCs w:val="24"/>
        </w:rPr>
      </w:pPr>
      <w:r>
        <w:rPr>
          <w:rFonts w:cs="宋体" w:asciiTheme="minorEastAsia" w:hAnsiTheme="minorEastAsia"/>
          <w:b/>
          <w:bCs/>
          <w:kern w:val="0"/>
          <w:sz w:val="24"/>
          <w:szCs w:val="24"/>
        </w:rPr>
        <w:t>第四  验收要求</w:t>
      </w:r>
      <w:r>
        <w:rPr>
          <w:rFonts w:cs="宋体" w:asciiTheme="minorEastAsia" w:hAnsiTheme="minorEastAsia"/>
          <w:kern w:val="0"/>
          <w:sz w:val="24"/>
          <w:szCs w:val="24"/>
        </w:rPr>
        <w:t xml:space="preserve">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（一）中标方于2016年12月10日前，根据《教育部办公厅关于编制发布高校毕业生就业质量年度报告的通知》要求完成相关信息的调查、统计和分析，形成《报告》的纸质</w:t>
      </w:r>
      <w:r>
        <w:rPr>
          <w:rFonts w:hint="eastAsia" w:cs="宋体" w:asciiTheme="minorEastAsia" w:hAnsiTheme="minorEastAsia"/>
          <w:kern w:val="0"/>
          <w:sz w:val="24"/>
          <w:szCs w:val="24"/>
        </w:rPr>
        <w:t>（印制成册）</w:t>
      </w:r>
      <w:r>
        <w:rPr>
          <w:rFonts w:cs="宋体" w:asciiTheme="minorEastAsia" w:hAnsiTheme="minorEastAsia"/>
          <w:kern w:val="0"/>
          <w:sz w:val="24"/>
          <w:szCs w:val="24"/>
        </w:rPr>
        <w:t xml:space="preserve">与电子文档（DOC格式）并提交招生就业处。中标方对调查过程和调查结果的真实性、科学性、有效性和合法性负责。 </w:t>
      </w:r>
    </w:p>
    <w:p>
      <w:pPr>
        <w:widowControl/>
        <w:spacing w:line="48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 xml:space="preserve">（二）中标方在提交《报告》后，需进一步配合学校完善《报告》。评审通过后，中标方于2016年12月20前将经招生就业处认可的《报告》最终版本制成PDF文档，同时交付招生就业处。 </w:t>
      </w:r>
    </w:p>
    <w:p>
      <w:pPr>
        <w:widowControl/>
        <w:spacing w:line="48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5F63"/>
    <w:rsid w:val="00151255"/>
    <w:rsid w:val="00371FD1"/>
    <w:rsid w:val="003C6CDB"/>
    <w:rsid w:val="004214CB"/>
    <w:rsid w:val="005A0152"/>
    <w:rsid w:val="00881AEB"/>
    <w:rsid w:val="008C47F8"/>
    <w:rsid w:val="00974F7B"/>
    <w:rsid w:val="009D714F"/>
    <w:rsid w:val="00AD52B7"/>
    <w:rsid w:val="00B56835"/>
    <w:rsid w:val="00EF4F04"/>
    <w:rsid w:val="00F25F63"/>
    <w:rsid w:val="00F50017"/>
    <w:rsid w:val="734A2CC4"/>
    <w:rsid w:val="779B283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uiPriority w:val="99"/>
    <w:pPr>
      <w:ind w:firstLine="420" w:firstLineChars="200"/>
    </w:pPr>
    <w:rPr>
      <w:rFonts w:ascii="Times New Roman" w:hAnsi="Times New Roman" w:cs="Times New Roman"/>
      <w:szCs w:val="21"/>
    </w:rPr>
  </w:style>
  <w:style w:type="paragraph" w:styleId="3">
    <w:name w:val="Body Text Indent"/>
    <w:basedOn w:val="1"/>
    <w:link w:val="14"/>
    <w:unhideWhenUsed/>
    <w:qFormat/>
    <w:uiPriority w:val="99"/>
    <w:pPr>
      <w:spacing w:after="120"/>
      <w:ind w:left="420" w:leftChars="200"/>
    </w:pPr>
  </w:style>
  <w:style w:type="paragraph" w:styleId="4">
    <w:name w:val="Body Text Indent 2"/>
    <w:basedOn w:val="1"/>
    <w:link w:val="10"/>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正文文本缩进 2 Char"/>
    <w:basedOn w:val="7"/>
    <w:link w:val="4"/>
    <w:qFormat/>
    <w:uiPriority w:val="0"/>
    <w:rPr>
      <w:rFonts w:ascii="Times New Roman" w:hAnsi="Times New Roman" w:eastAsia="宋体" w:cs="Times New Roman"/>
      <w:szCs w:val="24"/>
    </w:rPr>
  </w:style>
  <w:style w:type="character" w:customStyle="1" w:styleId="11">
    <w:name w:val="页眉 Char"/>
    <w:basedOn w:val="7"/>
    <w:link w:val="6"/>
    <w:semiHidden/>
    <w:qFormat/>
    <w:uiPriority w:val="99"/>
    <w:rPr>
      <w:sz w:val="18"/>
      <w:szCs w:val="18"/>
    </w:rPr>
  </w:style>
  <w:style w:type="character" w:customStyle="1" w:styleId="12">
    <w:name w:val="页脚 Char"/>
    <w:basedOn w:val="7"/>
    <w:link w:val="5"/>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正文文本缩进 Char"/>
    <w:basedOn w:val="7"/>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902</Words>
  <Characters>5146</Characters>
  <Lines>42</Lines>
  <Paragraphs>12</Paragraphs>
  <ScaleCrop>false</ScaleCrop>
  <LinksUpToDate>false</LinksUpToDate>
  <CharactersWithSpaces>6036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2016-10-11T08:29:00Z</dcterms:created>
  <dc:creator>微软用户</dc:creator>
  <cp:lastModifiedBy>john</cp:lastModifiedBy>
  <dcterms:modified xsi:type="dcterms:W3CDTF">2016-10-12T01:54:16Z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